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2B5A3" w14:textId="5A54F159" w:rsidR="002320E0" w:rsidRPr="00481EC3" w:rsidRDefault="002320E0" w:rsidP="00481EC3">
      <w:pPr>
        <w:jc w:val="center"/>
        <w:rPr>
          <w:rFonts w:ascii="Times New Roman" w:hAnsi="Times New Roman" w:cs="Times New Roman"/>
          <w:sz w:val="18"/>
          <w:szCs w:val="18"/>
        </w:rPr>
      </w:pPr>
      <w:r w:rsidRPr="002320E0">
        <w:rPr>
          <w:rFonts w:ascii="Times New Roman" w:hAnsi="Times New Roman" w:cs="Times New Roman"/>
          <w:noProof/>
          <w:sz w:val="18"/>
          <w:szCs w:val="18"/>
        </w:rPr>
        <w:drawing>
          <wp:anchor distT="0" distB="0" distL="114300" distR="114300" simplePos="0" relativeHeight="251658240" behindDoc="0" locked="0" layoutInCell="1" allowOverlap="1" wp14:anchorId="306B13B4" wp14:editId="6A9120E2">
            <wp:simplePos x="0" y="0"/>
            <wp:positionH relativeFrom="margin">
              <wp:posOffset>1867535</wp:posOffset>
            </wp:positionH>
            <wp:positionV relativeFrom="paragraph">
              <wp:posOffset>97790</wp:posOffset>
            </wp:positionV>
            <wp:extent cx="2174875" cy="1153160"/>
            <wp:effectExtent l="0" t="0" r="0" b="0"/>
            <wp:wrapTopAndBottom/>
            <wp:docPr id="1547398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681" t="-1024" r="-580" b="-20032"/>
                    <a:stretch>
                      <a:fillRect/>
                    </a:stretch>
                  </pic:blipFill>
                  <pic:spPr bwMode="auto">
                    <a:xfrm>
                      <a:off x="0" y="0"/>
                      <a:ext cx="2174875" cy="1153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320E0">
        <w:rPr>
          <w:rFonts w:ascii="Times New Roman" w:eastAsia="Times New Roman" w:hAnsi="Times New Roman" w:cs="Times New Roman"/>
          <w:b/>
          <w:sz w:val="18"/>
          <w:szCs w:val="18"/>
          <w14:ligatures w14:val="none"/>
        </w:rPr>
        <w:t>Příbalová informace: informace pro uživatele</w:t>
      </w:r>
    </w:p>
    <w:p w14:paraId="5EEF0162" w14:textId="77777777" w:rsidR="002320E0" w:rsidRPr="002320E0" w:rsidRDefault="002320E0" w:rsidP="002320E0">
      <w:pPr>
        <w:widowControl w:val="0"/>
        <w:spacing w:after="0" w:line="240" w:lineRule="auto"/>
        <w:jc w:val="center"/>
        <w:rPr>
          <w:rFonts w:ascii="Times New Roman" w:eastAsia="Times New Roman" w:hAnsi="Times New Roman" w:cs="Times New Roman"/>
          <w:sz w:val="18"/>
          <w:szCs w:val="18"/>
          <w14:ligatures w14:val="none"/>
        </w:rPr>
      </w:pPr>
    </w:p>
    <w:p w14:paraId="1214FE45" w14:textId="65FB78FD" w:rsidR="002320E0" w:rsidRPr="002320E0" w:rsidRDefault="002320E0" w:rsidP="002320E0">
      <w:pPr>
        <w:widowControl w:val="0"/>
        <w:spacing w:after="0" w:line="240" w:lineRule="auto"/>
        <w:jc w:val="center"/>
        <w:rPr>
          <w:rFonts w:ascii="Times New Roman" w:eastAsia="Times New Roman" w:hAnsi="Times New Roman" w:cs="Times New Roman"/>
          <w:b/>
          <w:sz w:val="18"/>
          <w:szCs w:val="18"/>
          <w14:ligatures w14:val="none"/>
        </w:rPr>
      </w:pPr>
      <w:proofErr w:type="spellStart"/>
      <w:r w:rsidRPr="002320E0">
        <w:rPr>
          <w:rFonts w:ascii="Times New Roman" w:eastAsia="Times New Roman" w:hAnsi="Times New Roman" w:cs="Times New Roman"/>
          <w:b/>
          <w:sz w:val="18"/>
          <w:szCs w:val="18"/>
          <w14:ligatures w14:val="none"/>
        </w:rPr>
        <w:t>Vaqta</w:t>
      </w:r>
      <w:proofErr w:type="spellEnd"/>
      <w:r w:rsidRPr="00720DFF">
        <w:rPr>
          <w:rFonts w:ascii="Times New Roman" w:eastAsia="Times New Roman" w:hAnsi="Times New Roman" w:cs="Times New Roman"/>
          <w:b/>
          <w:sz w:val="18"/>
          <w:szCs w:val="18"/>
          <w14:ligatures w14:val="none"/>
        </w:rPr>
        <w:t>®</w:t>
      </w:r>
      <w:r w:rsidRPr="002320E0">
        <w:rPr>
          <w:rFonts w:ascii="Times New Roman" w:eastAsia="Times New Roman" w:hAnsi="Times New Roman" w:cs="Times New Roman"/>
          <w:b/>
          <w:bCs/>
          <w:sz w:val="18"/>
          <w:szCs w:val="18"/>
          <w14:ligatures w14:val="none"/>
        </w:rPr>
        <w:t xml:space="preserve"> </w:t>
      </w:r>
      <w:proofErr w:type="spellStart"/>
      <w:r w:rsidRPr="002320E0">
        <w:rPr>
          <w:rFonts w:ascii="Times New Roman" w:eastAsia="Times New Roman" w:hAnsi="Times New Roman" w:cs="Times New Roman"/>
          <w:b/>
          <w:bCs/>
          <w:sz w:val="18"/>
          <w:szCs w:val="18"/>
          <w14:ligatures w14:val="none"/>
        </w:rPr>
        <w:t>Pediatric</w:t>
      </w:r>
      <w:proofErr w:type="spellEnd"/>
      <w:r w:rsidRPr="002320E0">
        <w:rPr>
          <w:rFonts w:ascii="Times New Roman" w:eastAsia="Times New Roman" w:hAnsi="Times New Roman" w:cs="Times New Roman"/>
          <w:b/>
          <w:bCs/>
          <w:sz w:val="18"/>
          <w:szCs w:val="18"/>
          <w14:ligatures w14:val="none"/>
        </w:rPr>
        <w:t>/Adolescent 25 U/0,5 ml</w:t>
      </w:r>
      <w:r w:rsidRPr="002320E0">
        <w:rPr>
          <w:rFonts w:ascii="Times New Roman" w:eastAsia="Times New Roman" w:hAnsi="Times New Roman" w:cs="Times New Roman"/>
          <w:b/>
          <w:sz w:val="18"/>
          <w:szCs w:val="18"/>
          <w14:ligatures w14:val="none"/>
        </w:rPr>
        <w:t xml:space="preserve"> injekční suspenze v předplněné injekční stříkačce</w:t>
      </w:r>
    </w:p>
    <w:p w14:paraId="4A6B6599" w14:textId="77777777" w:rsidR="002320E0" w:rsidRPr="002320E0" w:rsidRDefault="002320E0" w:rsidP="002320E0">
      <w:pPr>
        <w:keepNext/>
        <w:widowControl w:val="0"/>
        <w:spacing w:after="0" w:line="240" w:lineRule="auto"/>
        <w:jc w:val="center"/>
        <w:outlineLvl w:val="0"/>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vakcína proti hepatitidě typu A, inaktivovaná, adsorbovaná</w:t>
      </w:r>
    </w:p>
    <w:p w14:paraId="152571D5" w14:textId="77777777" w:rsidR="002320E0" w:rsidRPr="002320E0" w:rsidRDefault="002320E0" w:rsidP="002320E0">
      <w:pPr>
        <w:widowControl w:val="0"/>
        <w:spacing w:after="0" w:line="240" w:lineRule="auto"/>
        <w:jc w:val="center"/>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b/>
          <w:sz w:val="18"/>
          <w:szCs w:val="18"/>
          <w14:ligatures w14:val="none"/>
        </w:rPr>
        <w:t>Pro děti a dospívající</w:t>
      </w:r>
    </w:p>
    <w:p w14:paraId="588CA449" w14:textId="77777777" w:rsidR="002320E0" w:rsidRPr="002320E0" w:rsidRDefault="002320E0" w:rsidP="002320E0">
      <w:pPr>
        <w:widowControl w:val="0"/>
        <w:spacing w:after="0" w:line="240" w:lineRule="auto"/>
        <w:jc w:val="center"/>
        <w:rPr>
          <w:rFonts w:ascii="Times New Roman" w:eastAsia="Times New Roman" w:hAnsi="Times New Roman" w:cs="Times New Roman"/>
          <w:sz w:val="18"/>
          <w:szCs w:val="18"/>
          <w14:ligatures w14:val="none"/>
        </w:rPr>
      </w:pPr>
    </w:p>
    <w:p w14:paraId="26876F4B" w14:textId="77777777" w:rsidR="002320E0" w:rsidRPr="002320E0" w:rsidRDefault="002320E0" w:rsidP="002320E0">
      <w:pPr>
        <w:keepNext/>
        <w:keepLines/>
        <w:widowControl w:val="0"/>
        <w:spacing w:after="0" w:line="240" w:lineRule="auto"/>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b/>
          <w:noProof/>
          <w:sz w:val="18"/>
          <w:szCs w:val="18"/>
          <w14:ligatures w14:val="none"/>
        </w:rPr>
        <w:t>Přečtěte si pozorně celou příbalovou informaci dříve, než budete Vy nebo Vaše dítě očkován(a)(o), protože obsahuje pro Vás důležité údaje.</w:t>
      </w:r>
    </w:p>
    <w:p w14:paraId="34C563DE" w14:textId="77777777" w:rsidR="002320E0" w:rsidRPr="002320E0" w:rsidRDefault="002320E0" w:rsidP="002320E0">
      <w:pPr>
        <w:widowControl w:val="0"/>
        <w:numPr>
          <w:ilvl w:val="0"/>
          <w:numId w:val="1"/>
        </w:numPr>
        <w:spacing w:after="0" w:line="240" w:lineRule="auto"/>
        <w:ind w:left="567" w:right="-2" w:hanging="567"/>
        <w:jc w:val="both"/>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Ponechte si příbalovou informaci pro případ, že si ji budete potřebovat přečíst znovu.</w:t>
      </w:r>
    </w:p>
    <w:p w14:paraId="13950A67" w14:textId="77777777" w:rsidR="002320E0" w:rsidRPr="002320E0" w:rsidRDefault="002320E0" w:rsidP="002320E0">
      <w:pPr>
        <w:widowControl w:val="0"/>
        <w:numPr>
          <w:ilvl w:val="0"/>
          <w:numId w:val="1"/>
        </w:numPr>
        <w:spacing w:after="0" w:line="240" w:lineRule="auto"/>
        <w:ind w:left="567" w:right="-2" w:hanging="567"/>
        <w:jc w:val="both"/>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Máte-li jakékoli další otázky, zeptejte se svého lékaře, zdravotní sestry nebo lékárníka.</w:t>
      </w:r>
    </w:p>
    <w:p w14:paraId="57BCC139" w14:textId="77777777" w:rsidR="002320E0" w:rsidRPr="002320E0" w:rsidRDefault="002320E0" w:rsidP="002320E0">
      <w:pPr>
        <w:widowControl w:val="0"/>
        <w:numPr>
          <w:ilvl w:val="0"/>
          <w:numId w:val="1"/>
        </w:numPr>
        <w:spacing w:after="0" w:line="240" w:lineRule="auto"/>
        <w:ind w:left="567" w:right="-2" w:hanging="567"/>
        <w:jc w:val="both"/>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noProof/>
          <w:sz w:val="18"/>
          <w:szCs w:val="18"/>
          <w14:ligatures w14:val="none"/>
        </w:rPr>
        <w:t xml:space="preserve">Tento přípravek byl předepsán výhradně Vám. Nedávejte jej žádné další osobě. </w:t>
      </w:r>
    </w:p>
    <w:p w14:paraId="7F4D7D32" w14:textId="77777777" w:rsidR="002320E0" w:rsidRPr="002320E0" w:rsidRDefault="002320E0" w:rsidP="002320E0">
      <w:pPr>
        <w:widowControl w:val="0"/>
        <w:numPr>
          <w:ilvl w:val="0"/>
          <w:numId w:val="1"/>
        </w:numPr>
        <w:spacing w:after="0" w:line="240" w:lineRule="auto"/>
        <w:ind w:left="567" w:right="-2" w:hanging="567"/>
        <w:jc w:val="both"/>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noProof/>
          <w:sz w:val="18"/>
          <w:szCs w:val="18"/>
          <w14:ligatures w14:val="none"/>
        </w:rPr>
        <w:t>Pokud se u Vás vyskytne kterýkoli z nežádoucích účinků, sdělte to svému lékaři nebo lékárníkovi. Stejně postupujte v případě jakýchkoli nežádoucích účinků, které nejsou uvedeny v této příbalové informaci. Viz bod 4.</w:t>
      </w:r>
    </w:p>
    <w:p w14:paraId="5AC8F108"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69D3A223" w14:textId="77777777" w:rsidR="002320E0" w:rsidRPr="002320E0" w:rsidRDefault="002320E0" w:rsidP="002320E0">
      <w:pPr>
        <w:keepNext/>
        <w:keepLines/>
        <w:widowControl w:val="0"/>
        <w:numPr>
          <w:ilvl w:val="12"/>
          <w:numId w:val="0"/>
        </w:numPr>
        <w:spacing w:after="0" w:line="240" w:lineRule="auto"/>
        <w:outlineLvl w:val="0"/>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b/>
          <w:noProof/>
          <w:sz w:val="18"/>
          <w:szCs w:val="18"/>
          <w14:ligatures w14:val="none"/>
        </w:rPr>
        <w:t>Co naleznete v této příbalové informaci</w:t>
      </w:r>
      <w:r w:rsidRPr="002320E0">
        <w:rPr>
          <w:rFonts w:ascii="Times New Roman" w:eastAsia="Times New Roman" w:hAnsi="Times New Roman" w:cs="Times New Roman"/>
          <w:noProof/>
          <w:sz w:val="18"/>
          <w:szCs w:val="18"/>
          <w14:ligatures w14:val="none"/>
        </w:rPr>
        <w:t xml:space="preserve"> </w:t>
      </w:r>
    </w:p>
    <w:p w14:paraId="76FFF792" w14:textId="6568AD6A"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1.</w:t>
      </w:r>
      <w:r w:rsidRPr="002320E0">
        <w:rPr>
          <w:rFonts w:ascii="Times New Roman" w:eastAsia="Times New Roman" w:hAnsi="Times New Roman" w:cs="Times New Roman"/>
          <w:noProof/>
          <w:sz w:val="18"/>
          <w:szCs w:val="18"/>
          <w14:ligatures w14:val="none"/>
        </w:rPr>
        <w:tab/>
        <w:t>Co je přípravek Vaqta Pediatric/Adolescent a</w:t>
      </w:r>
      <w:r w:rsidR="00162132">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noProof/>
          <w:sz w:val="18"/>
          <w:szCs w:val="18"/>
          <w14:ligatures w14:val="none"/>
        </w:rPr>
        <w:t>k čemu se používá</w:t>
      </w:r>
    </w:p>
    <w:p w14:paraId="54C99A98" w14:textId="77777777"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2.</w:t>
      </w:r>
      <w:r w:rsidRPr="002320E0">
        <w:rPr>
          <w:rFonts w:ascii="Times New Roman" w:eastAsia="Times New Roman" w:hAnsi="Times New Roman" w:cs="Times New Roman"/>
          <w:noProof/>
          <w:sz w:val="18"/>
          <w:szCs w:val="18"/>
          <w14:ligatures w14:val="none"/>
        </w:rPr>
        <w:tab/>
        <w:t>Čemu musíte věnovat pozornost, než Vám bude přípravek Vaqta Pediatric/Adolescent podán</w:t>
      </w:r>
    </w:p>
    <w:p w14:paraId="553C8B1D" w14:textId="77777777"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3.</w:t>
      </w:r>
      <w:r w:rsidRPr="002320E0">
        <w:rPr>
          <w:rFonts w:ascii="Times New Roman" w:eastAsia="Times New Roman" w:hAnsi="Times New Roman" w:cs="Times New Roman"/>
          <w:noProof/>
          <w:sz w:val="18"/>
          <w:szCs w:val="18"/>
          <w14:ligatures w14:val="none"/>
        </w:rPr>
        <w:tab/>
        <w:t>Jak se přípravek Vaqta Pediatric/Adolescent podává</w:t>
      </w:r>
    </w:p>
    <w:p w14:paraId="0EB1C5D5" w14:textId="77777777"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4.</w:t>
      </w:r>
      <w:r w:rsidRPr="002320E0">
        <w:rPr>
          <w:rFonts w:ascii="Times New Roman" w:eastAsia="Times New Roman" w:hAnsi="Times New Roman" w:cs="Times New Roman"/>
          <w:noProof/>
          <w:sz w:val="18"/>
          <w:szCs w:val="18"/>
          <w14:ligatures w14:val="none"/>
        </w:rPr>
        <w:tab/>
        <w:t>Možné nežádoucí účinky</w:t>
      </w:r>
    </w:p>
    <w:p w14:paraId="54FF3E3D" w14:textId="77777777"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5.</w:t>
      </w:r>
      <w:r w:rsidRPr="002320E0">
        <w:rPr>
          <w:rFonts w:ascii="Times New Roman" w:eastAsia="Times New Roman" w:hAnsi="Times New Roman" w:cs="Times New Roman"/>
          <w:noProof/>
          <w:sz w:val="18"/>
          <w:szCs w:val="18"/>
          <w14:ligatures w14:val="none"/>
        </w:rPr>
        <w:tab/>
        <w:t>Jak přípravek Vaqta Pediatric/Adolescent uchovávat</w:t>
      </w:r>
    </w:p>
    <w:p w14:paraId="5F039D66" w14:textId="77777777" w:rsidR="002320E0" w:rsidRPr="002320E0" w:rsidRDefault="002320E0" w:rsidP="002320E0">
      <w:pPr>
        <w:widowControl w:val="0"/>
        <w:spacing w:after="0" w:line="240" w:lineRule="auto"/>
        <w:ind w:left="567" w:right="-29" w:hanging="567"/>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6.</w:t>
      </w:r>
      <w:r w:rsidRPr="002320E0">
        <w:rPr>
          <w:rFonts w:ascii="Times New Roman" w:eastAsia="Times New Roman" w:hAnsi="Times New Roman" w:cs="Times New Roman"/>
          <w:noProof/>
          <w:sz w:val="18"/>
          <w:szCs w:val="18"/>
          <w14:ligatures w14:val="none"/>
        </w:rPr>
        <w:tab/>
        <w:t>Obsah balení a další informace</w:t>
      </w:r>
    </w:p>
    <w:p w14:paraId="28BA39D5"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0B4969D0"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1A6D0457" w14:textId="372F5165" w:rsidR="002320E0" w:rsidRPr="002320E0" w:rsidRDefault="002320E0" w:rsidP="002320E0">
      <w:pPr>
        <w:keepNext/>
        <w:keepLines/>
        <w:widowControl w:val="0"/>
        <w:numPr>
          <w:ilvl w:val="0"/>
          <w:numId w:val="2"/>
        </w:numPr>
        <w:spacing w:after="0" w:line="240" w:lineRule="auto"/>
        <w:ind w:left="567" w:right="-2" w:hanging="567"/>
        <w:jc w:val="both"/>
        <w:outlineLvl w:val="0"/>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Co je přípravek Vaqta Pediatric/Adolescent a</w:t>
      </w:r>
      <w:r w:rsidR="00162132">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b/>
          <w:noProof/>
          <w:sz w:val="18"/>
          <w:szCs w:val="18"/>
          <w14:ligatures w14:val="none"/>
        </w:rPr>
        <w:t>k čemu se používá</w:t>
      </w:r>
    </w:p>
    <w:p w14:paraId="634C44C9"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p>
    <w:p w14:paraId="7FF7C249"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Přípravek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je vakcína (očkovací látka). Vakcíny se používají k ochraně před infekčními nemocemi. Působí tak, že tělo začne vytvářet vlastní ochranu proti dané nemoci.</w:t>
      </w:r>
    </w:p>
    <w:p w14:paraId="5EE5609B"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20B7FE57"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Přípravek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pomáhá chránit děti ve věku od 12 měsíců do 17 let proti nemoci způsobené virem hepatitidy A.</w:t>
      </w:r>
    </w:p>
    <w:p w14:paraId="4DA515E3"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51458DD7" w14:textId="22214EF4"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Infekci hepatitidy A způsobuje virus, který napadá játra. Nakazit se lze z potravin nebo nápojů, které tento virus obsahují. Příznaky zahrnují žloutenku (zežloutnutí kůže a</w:t>
      </w:r>
      <w:r w:rsidR="00162132">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sz w:val="18"/>
          <w:szCs w:val="18"/>
          <w14:ligatures w14:val="none"/>
        </w:rPr>
        <w:t>bělma očí) a celkový pocit nepohody.</w:t>
      </w:r>
    </w:p>
    <w:p w14:paraId="745F4BEA"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06F055E9"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Poté, co bude Vám nebo Vašemu dítěti podána injekce přípravku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začnou přirozené tělesné obranné mechanismy vytvářet ochranu (protilátky) proti viru hepatitidy A. Obvykle však po podání injekce trvá 2 až 4 týdny, než budete Vy nebo Vaše dítě chráněn(a)(o).</w:t>
      </w:r>
    </w:p>
    <w:p w14:paraId="4D1C6F89"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56EFB4D5"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Přípravek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nezabrání hepatitidě způsobené jinými původci infekcí, než je virus hepatitidy A.</w:t>
      </w:r>
    </w:p>
    <w:p w14:paraId="44F935F5"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2797C508"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Navíc pokud jste v době podání přípravku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Vy nebo Vaše dítě již nakažen(a)(o) virem hepatitidy A, nemusí očkování vzniku onemocnění zabránit.</w:t>
      </w:r>
    </w:p>
    <w:p w14:paraId="046E9342"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21140C2B" w14:textId="77777777" w:rsidR="002320E0" w:rsidRPr="002320E0" w:rsidRDefault="002320E0" w:rsidP="002320E0">
      <w:pPr>
        <w:widowControl w:val="0"/>
        <w:spacing w:after="0" w:line="240" w:lineRule="auto"/>
        <w:rPr>
          <w:rFonts w:ascii="Times New Roman" w:eastAsia="Times New Roman" w:hAnsi="Times New Roman" w:cs="Times New Roman"/>
          <w:b/>
          <w:sz w:val="18"/>
          <w:szCs w:val="18"/>
          <w:u w:val="single"/>
          <w14:ligatures w14:val="none"/>
        </w:rPr>
      </w:pPr>
      <w:r w:rsidRPr="002320E0">
        <w:rPr>
          <w:rFonts w:ascii="Times New Roman" w:eastAsia="Times New Roman" w:hAnsi="Times New Roman" w:cs="Times New Roman"/>
          <w:sz w:val="18"/>
          <w:szCs w:val="18"/>
          <w14:ligatures w14:val="none"/>
        </w:rPr>
        <w:t xml:space="preserve">Přípravek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chrání proti hepatitidě A, ale infekci hepatitidy A nemůže vyvolat.</w:t>
      </w:r>
    </w:p>
    <w:p w14:paraId="19238226"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0244ABF3"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1F8528F9" w14:textId="77777777" w:rsidR="002320E0" w:rsidRPr="002320E0" w:rsidRDefault="002320E0" w:rsidP="002320E0">
      <w:pPr>
        <w:keepNext/>
        <w:keepLines/>
        <w:widowControl w:val="0"/>
        <w:spacing w:after="0" w:line="240" w:lineRule="auto"/>
        <w:ind w:left="567" w:right="-29" w:hanging="567"/>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2.</w:t>
      </w:r>
      <w:r w:rsidRPr="002320E0">
        <w:rPr>
          <w:rFonts w:ascii="Times New Roman" w:eastAsia="Times New Roman" w:hAnsi="Times New Roman" w:cs="Times New Roman"/>
          <w:b/>
          <w:noProof/>
          <w:sz w:val="18"/>
          <w:szCs w:val="18"/>
          <w14:ligatures w14:val="none"/>
        </w:rPr>
        <w:tab/>
        <w:t>Čemu musíte věnovat pozornost, než vám bude přípravek Vaqta Pediatric/Adolescent podán</w:t>
      </w:r>
    </w:p>
    <w:p w14:paraId="5281ABEE"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u w:val="single"/>
          <w14:ligatures w14:val="none"/>
        </w:rPr>
      </w:pPr>
    </w:p>
    <w:p w14:paraId="53ADA147"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Je důležité, abyste svému lékaři nebo zdravotní sestře sdělil(a), pokud se Vás týká kterýkoli z následujících bodů. Pokud něčemu nerozumíte, požádejte svého lékaře nebo zdravotní sestru o vysvětlení. </w:t>
      </w:r>
    </w:p>
    <w:p w14:paraId="4710F623" w14:textId="77777777" w:rsidR="002320E0" w:rsidRPr="002320E0" w:rsidRDefault="002320E0" w:rsidP="002320E0">
      <w:pPr>
        <w:widowControl w:val="0"/>
        <w:spacing w:after="0" w:line="240" w:lineRule="auto"/>
        <w:rPr>
          <w:rFonts w:ascii="Times New Roman" w:eastAsia="Times New Roman" w:hAnsi="Times New Roman" w:cs="Times New Roman"/>
          <w:i/>
          <w:sz w:val="18"/>
          <w:szCs w:val="18"/>
          <w:u w:val="single"/>
          <w14:ligatures w14:val="none"/>
        </w:rPr>
      </w:pPr>
    </w:p>
    <w:p w14:paraId="70BF7248" w14:textId="77777777" w:rsidR="002320E0" w:rsidRPr="002320E0" w:rsidRDefault="002320E0" w:rsidP="002320E0">
      <w:pPr>
        <w:keepNext/>
        <w:keepLines/>
        <w:widowControl w:val="0"/>
        <w:spacing w:after="0" w:line="240" w:lineRule="auto"/>
        <w:rPr>
          <w:rFonts w:ascii="Times New Roman" w:eastAsia="Times New Roman" w:hAnsi="Times New Roman" w:cs="Times New Roman"/>
          <w:b/>
          <w:bCs/>
          <w:iCs/>
          <w:sz w:val="18"/>
          <w:szCs w:val="18"/>
          <w14:ligatures w14:val="none"/>
        </w:rPr>
      </w:pPr>
      <w:r w:rsidRPr="002320E0">
        <w:rPr>
          <w:rFonts w:ascii="Times New Roman" w:eastAsia="Times New Roman" w:hAnsi="Times New Roman" w:cs="Times New Roman"/>
          <w:b/>
          <w:bCs/>
          <w:iCs/>
          <w:sz w:val="18"/>
          <w:szCs w:val="18"/>
          <w14:ligatures w14:val="none"/>
        </w:rPr>
        <w:t xml:space="preserve">Přípravek </w:t>
      </w:r>
      <w:proofErr w:type="spellStart"/>
      <w:r w:rsidRPr="002320E0">
        <w:rPr>
          <w:rFonts w:ascii="Times New Roman" w:eastAsia="Times New Roman" w:hAnsi="Times New Roman" w:cs="Times New Roman"/>
          <w:b/>
          <w:bCs/>
          <w:iCs/>
          <w:sz w:val="18"/>
          <w:szCs w:val="18"/>
          <w14:ligatures w14:val="none"/>
        </w:rPr>
        <w:t>Vaqta</w:t>
      </w:r>
      <w:proofErr w:type="spellEnd"/>
      <w:r w:rsidRPr="002320E0">
        <w:rPr>
          <w:rFonts w:ascii="Times New Roman" w:eastAsia="Times New Roman" w:hAnsi="Times New Roman" w:cs="Times New Roman"/>
          <w:b/>
          <w:bCs/>
          <w:iCs/>
          <w:sz w:val="18"/>
          <w:szCs w:val="18"/>
          <w14:ligatures w14:val="none"/>
        </w:rPr>
        <w:t xml:space="preserve"> </w:t>
      </w:r>
      <w:proofErr w:type="spellStart"/>
      <w:r w:rsidRPr="002320E0">
        <w:rPr>
          <w:rFonts w:ascii="Times New Roman" w:eastAsia="Times New Roman" w:hAnsi="Times New Roman" w:cs="Times New Roman"/>
          <w:b/>
          <w:bCs/>
          <w:iCs/>
          <w:sz w:val="18"/>
          <w:szCs w:val="18"/>
          <w14:ligatures w14:val="none"/>
        </w:rPr>
        <w:t>Pediatric</w:t>
      </w:r>
      <w:proofErr w:type="spellEnd"/>
      <w:r w:rsidRPr="002320E0">
        <w:rPr>
          <w:rFonts w:ascii="Times New Roman" w:eastAsia="Times New Roman" w:hAnsi="Times New Roman" w:cs="Times New Roman"/>
          <w:b/>
          <w:bCs/>
          <w:iCs/>
          <w:sz w:val="18"/>
          <w:szCs w:val="18"/>
          <w14:ligatures w14:val="none"/>
        </w:rPr>
        <w:t>/Adolescent se nesmí podat</w:t>
      </w:r>
    </w:p>
    <w:p w14:paraId="7B901EA0" w14:textId="77777777" w:rsidR="002320E0" w:rsidRPr="002320E0" w:rsidRDefault="002320E0" w:rsidP="002320E0">
      <w:pPr>
        <w:keepNext/>
        <w:keepLines/>
        <w:widowControl w:val="0"/>
        <w:spacing w:after="0" w:line="240" w:lineRule="auto"/>
        <w:rPr>
          <w:rFonts w:ascii="Times New Roman" w:eastAsia="Times New Roman" w:hAnsi="Times New Roman" w:cs="Times New Roman"/>
          <w:b/>
          <w:bCs/>
          <w:iCs/>
          <w:sz w:val="18"/>
          <w:szCs w:val="18"/>
          <w14:ligatures w14:val="none"/>
        </w:rPr>
      </w:pPr>
    </w:p>
    <w:p w14:paraId="62F3E4AC" w14:textId="77777777" w:rsidR="002320E0" w:rsidRPr="002320E0" w:rsidRDefault="002320E0" w:rsidP="002320E0">
      <w:pPr>
        <w:widowControl w:val="0"/>
        <w:spacing w:after="0" w:line="240" w:lineRule="auto"/>
        <w:ind w:left="567" w:hanging="567"/>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w:t>
      </w:r>
      <w:r w:rsidRPr="002320E0">
        <w:rPr>
          <w:rFonts w:ascii="Times New Roman" w:eastAsia="Times New Roman" w:hAnsi="Times New Roman" w:cs="Times New Roman"/>
          <w:sz w:val="18"/>
          <w:szCs w:val="18"/>
          <w14:ligatures w14:val="none"/>
        </w:rPr>
        <w:tab/>
        <w:t>jestliže jste Vy nebo Vaše dítě alergický(á)(é) na léčivou látku nebo na kteroukoli další složku tohoto přípravku uvedenou v bodě 6.</w:t>
      </w:r>
    </w:p>
    <w:p w14:paraId="419880C3" w14:textId="77777777" w:rsidR="002320E0" w:rsidRPr="002320E0" w:rsidRDefault="002320E0" w:rsidP="002320E0">
      <w:pPr>
        <w:widowControl w:val="0"/>
        <w:spacing w:after="0" w:line="240" w:lineRule="auto"/>
        <w:ind w:left="567" w:hanging="567"/>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w:t>
      </w:r>
      <w:r w:rsidRPr="002320E0">
        <w:rPr>
          <w:rFonts w:ascii="Times New Roman" w:eastAsia="Times New Roman" w:hAnsi="Times New Roman" w:cs="Times New Roman"/>
          <w:sz w:val="18"/>
          <w:szCs w:val="18"/>
          <w14:ligatures w14:val="none"/>
        </w:rPr>
        <w:tab/>
        <w:t xml:space="preserve">jestliže Vy nebo Vaše dítě právě máte závažnou infekci s horečkou. Lékař rozhodne, kdy může být vakcína podána. </w:t>
      </w:r>
    </w:p>
    <w:p w14:paraId="1290905C"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4EFED2E4" w14:textId="77777777" w:rsidR="002320E0" w:rsidRPr="002320E0" w:rsidRDefault="002320E0" w:rsidP="002320E0">
      <w:pPr>
        <w:keepNext/>
        <w:keepLines/>
        <w:widowControl w:val="0"/>
        <w:spacing w:after="0" w:line="240" w:lineRule="auto"/>
        <w:rPr>
          <w:rFonts w:ascii="Times New Roman" w:eastAsia="Times New Roman" w:hAnsi="Times New Roman" w:cs="Times New Roman"/>
          <w:b/>
          <w:bCs/>
          <w:iCs/>
          <w:sz w:val="18"/>
          <w:szCs w:val="18"/>
          <w14:ligatures w14:val="none"/>
        </w:rPr>
      </w:pPr>
      <w:r w:rsidRPr="002320E0">
        <w:rPr>
          <w:rFonts w:ascii="Times New Roman" w:eastAsia="Times New Roman" w:hAnsi="Times New Roman" w:cs="Times New Roman"/>
          <w:b/>
          <w:bCs/>
          <w:iCs/>
          <w:sz w:val="18"/>
          <w:szCs w:val="18"/>
          <w14:ligatures w14:val="none"/>
        </w:rPr>
        <w:t>Upozornění a opatření</w:t>
      </w:r>
    </w:p>
    <w:p w14:paraId="20ED5AE2" w14:textId="77777777" w:rsidR="002320E0" w:rsidRPr="002320E0" w:rsidRDefault="002320E0" w:rsidP="002320E0">
      <w:pPr>
        <w:keepNext/>
        <w:keepLines/>
        <w:widowControl w:val="0"/>
        <w:spacing w:after="0" w:line="240" w:lineRule="auto"/>
        <w:rPr>
          <w:rFonts w:ascii="Times New Roman" w:eastAsia="Times New Roman" w:hAnsi="Times New Roman" w:cs="Times New Roman"/>
          <w:b/>
          <w:bCs/>
          <w:iCs/>
          <w:sz w:val="18"/>
          <w:szCs w:val="18"/>
          <w14:ligatures w14:val="none"/>
        </w:rPr>
      </w:pPr>
      <w:r w:rsidRPr="002320E0">
        <w:rPr>
          <w:rFonts w:ascii="Times New Roman" w:eastAsia="Times New Roman" w:hAnsi="Times New Roman" w:cs="Times New Roman"/>
          <w:bCs/>
          <w:iCs/>
          <w:sz w:val="18"/>
          <w:szCs w:val="18"/>
          <w14:ligatures w14:val="none"/>
        </w:rPr>
        <w:t xml:space="preserve">Před použitím přípravku </w:t>
      </w:r>
      <w:proofErr w:type="spellStart"/>
      <w:r w:rsidRPr="002320E0">
        <w:rPr>
          <w:rFonts w:ascii="Times New Roman" w:eastAsia="Times New Roman" w:hAnsi="Times New Roman" w:cs="Times New Roman"/>
          <w:bCs/>
          <w:iCs/>
          <w:sz w:val="18"/>
          <w:szCs w:val="18"/>
          <w14:ligatures w14:val="none"/>
        </w:rPr>
        <w:t>Vaqta</w:t>
      </w:r>
      <w:proofErr w:type="spellEnd"/>
      <w:r w:rsidRPr="002320E0">
        <w:rPr>
          <w:rFonts w:ascii="Times New Roman" w:eastAsia="Times New Roman" w:hAnsi="Times New Roman" w:cs="Times New Roman"/>
          <w:bCs/>
          <w:iCs/>
          <w:sz w:val="18"/>
          <w:szCs w:val="18"/>
          <w14:ligatures w14:val="none"/>
        </w:rPr>
        <w:t xml:space="preserve"> </w:t>
      </w:r>
      <w:proofErr w:type="spellStart"/>
      <w:r w:rsidRPr="002320E0">
        <w:rPr>
          <w:rFonts w:ascii="Times New Roman" w:eastAsia="Times New Roman" w:hAnsi="Times New Roman" w:cs="Times New Roman"/>
          <w:bCs/>
          <w:iCs/>
          <w:sz w:val="18"/>
          <w:szCs w:val="18"/>
          <w14:ligatures w14:val="none"/>
        </w:rPr>
        <w:t>Pediatric</w:t>
      </w:r>
      <w:proofErr w:type="spellEnd"/>
      <w:r w:rsidRPr="002320E0">
        <w:rPr>
          <w:rFonts w:ascii="Times New Roman" w:eastAsia="Times New Roman" w:hAnsi="Times New Roman" w:cs="Times New Roman"/>
          <w:bCs/>
          <w:iCs/>
          <w:sz w:val="18"/>
          <w:szCs w:val="18"/>
          <w14:ligatures w14:val="none"/>
        </w:rPr>
        <w:t>/Adolescent se poraďte se svým lékařem, lékárníkem nebo zdravotní sestrou:</w:t>
      </w:r>
    </w:p>
    <w:p w14:paraId="4CC452B6" w14:textId="77777777" w:rsidR="002320E0" w:rsidRPr="002320E0" w:rsidRDefault="002320E0" w:rsidP="002320E0">
      <w:pPr>
        <w:autoSpaceDE w:val="0"/>
        <w:autoSpaceDN w:val="0"/>
        <w:adjustRightInd w:val="0"/>
        <w:spacing w:after="0" w:line="240" w:lineRule="auto"/>
        <w:ind w:left="567" w:hanging="567"/>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14:ligatures w14:val="none"/>
        </w:rPr>
        <w:t>-</w:t>
      </w:r>
      <w:r w:rsidRPr="002320E0">
        <w:rPr>
          <w:rFonts w:ascii="Times New Roman" w:eastAsia="Times New Roman" w:hAnsi="Times New Roman" w:cs="Times New Roman"/>
          <w:sz w:val="18"/>
          <w:szCs w:val="18"/>
          <w14:ligatures w14:val="none"/>
        </w:rPr>
        <w:tab/>
        <w:t>j</w:t>
      </w:r>
      <w:r w:rsidRPr="002320E0">
        <w:rPr>
          <w:rFonts w:ascii="Times New Roman" w:eastAsia="Times New Roman" w:hAnsi="Times New Roman" w:cs="Times New Roman"/>
          <w:sz w:val="18"/>
          <w:szCs w:val="18"/>
          <w:lang w:eastAsia="cs-CZ"/>
          <w14:ligatures w14:val="none"/>
        </w:rPr>
        <w:t xml:space="preserve">estliže jste Vy nebo Vaše dítě kdykoli v minulosti měl(a)(o) alergickou reakci na předchozí dávku přípravku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w:t>
      </w:r>
    </w:p>
    <w:p w14:paraId="22A5FC51" w14:textId="77777777" w:rsidR="002320E0" w:rsidRPr="002320E0" w:rsidRDefault="002320E0" w:rsidP="002320E0">
      <w:pPr>
        <w:autoSpaceDE w:val="0"/>
        <w:autoSpaceDN w:val="0"/>
        <w:adjustRightInd w:val="0"/>
        <w:spacing w:after="0" w:line="240" w:lineRule="auto"/>
        <w:ind w:left="567" w:hanging="567"/>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w:t>
      </w:r>
      <w:r w:rsidRPr="002320E0">
        <w:rPr>
          <w:rFonts w:ascii="Times New Roman" w:eastAsia="Times New Roman" w:hAnsi="Times New Roman" w:cs="Times New Roman"/>
          <w:sz w:val="18"/>
          <w:szCs w:val="18"/>
          <w:lang w:eastAsia="cs-CZ"/>
          <w14:ligatures w14:val="none"/>
        </w:rPr>
        <w:tab/>
      </w:r>
      <w:r w:rsidRPr="002320E0">
        <w:rPr>
          <w:rFonts w:ascii="Times New Roman" w:eastAsia="Times New Roman" w:hAnsi="Times New Roman" w:cs="Times New Roman"/>
          <w:sz w:val="18"/>
          <w:szCs w:val="18"/>
          <w14:ligatures w14:val="none"/>
        </w:rPr>
        <w:t>j</w:t>
      </w:r>
      <w:r w:rsidRPr="002320E0">
        <w:rPr>
          <w:rFonts w:ascii="Times New Roman" w:eastAsia="Times New Roman" w:hAnsi="Times New Roman" w:cs="Times New Roman"/>
          <w:sz w:val="18"/>
          <w:szCs w:val="18"/>
          <w:lang w:eastAsia="cs-CZ"/>
          <w14:ligatures w14:val="none"/>
        </w:rPr>
        <w:t>estliže jste Vy nebo Vaše dítě měl(a)(o) jakékoli problémy se srážlivostí krve vedoucí ke snadné tvorbě modřin nebo dlouhodobému krvácení po drobných poraněních (například kvůli krvácivé poruše nebo léčbě léky na ředění krve).</w:t>
      </w:r>
    </w:p>
    <w:p w14:paraId="54CD6DFD" w14:textId="77777777" w:rsidR="002320E0" w:rsidRPr="002320E0" w:rsidRDefault="002320E0" w:rsidP="002320E0">
      <w:pPr>
        <w:autoSpaceDE w:val="0"/>
        <w:autoSpaceDN w:val="0"/>
        <w:adjustRightInd w:val="0"/>
        <w:spacing w:after="0" w:line="240" w:lineRule="auto"/>
        <w:ind w:left="567" w:hanging="567"/>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 </w:t>
      </w:r>
      <w:r w:rsidRPr="002320E0">
        <w:rPr>
          <w:rFonts w:ascii="Times New Roman" w:eastAsia="Times New Roman" w:hAnsi="Times New Roman" w:cs="Times New Roman"/>
          <w:sz w:val="18"/>
          <w:szCs w:val="18"/>
          <w:lang w:eastAsia="cs-CZ"/>
          <w14:ligatures w14:val="none"/>
        </w:rPr>
        <w:tab/>
      </w:r>
      <w:r w:rsidRPr="002320E0">
        <w:rPr>
          <w:rFonts w:ascii="Times New Roman" w:eastAsia="Times New Roman" w:hAnsi="Times New Roman" w:cs="Times New Roman"/>
          <w:sz w:val="18"/>
          <w:szCs w:val="18"/>
          <w14:ligatures w14:val="none"/>
        </w:rPr>
        <w:t>j</w:t>
      </w:r>
      <w:r w:rsidRPr="002320E0">
        <w:rPr>
          <w:rFonts w:ascii="Times New Roman" w:eastAsia="Times New Roman" w:hAnsi="Times New Roman" w:cs="Times New Roman"/>
          <w:sz w:val="18"/>
          <w:szCs w:val="18"/>
          <w:lang w:eastAsia="cs-CZ"/>
          <w14:ligatures w14:val="none"/>
        </w:rPr>
        <w:t xml:space="preserve">estliže Vy nebo Vaše dítě máte oslabený imunitní systém kvůli nádorovému onemocnění, v důsledku léčby, která ovlivňuje imunitní systém nebo jakékoli jiné onemocnění. Tato vakcína Vás nemusí chránit tak dobře, jako chrání lidi se zdravým imunitním systémem. Pokud je to možné, </w:t>
      </w:r>
      <w:r w:rsidRPr="002320E0">
        <w:rPr>
          <w:rFonts w:ascii="Times New Roman" w:eastAsia="Times New Roman" w:hAnsi="Times New Roman" w:cs="Times New Roman"/>
          <w:sz w:val="18"/>
          <w:szCs w:val="18"/>
          <w:lang w:eastAsia="cs-CZ"/>
          <w14:ligatures w14:val="none"/>
        </w:rPr>
        <w:lastRenderedPageBreak/>
        <w:t>doporučuje se očkování odložit až po vyléčení takového onemocnění nebo po ukončení takové léčby.</w:t>
      </w:r>
    </w:p>
    <w:p w14:paraId="68017673"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1B29F71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Tato vakcína může obsahovat stopy antibiotika nazývaného neomycin a látky nazývané formaldehyd, které se obě používají při výrobě této vakcíny a mohou v ní být přítomny ve stopových množstvích.</w:t>
      </w:r>
    </w:p>
    <w:p w14:paraId="33F8001F"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4C2980E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14:ligatures w14:val="none"/>
        </w:rPr>
      </w:pPr>
      <w:bookmarkStart w:id="0" w:name="_Hlk529967384"/>
      <w:r w:rsidRPr="002320E0">
        <w:rPr>
          <w:rFonts w:ascii="Times New Roman" w:eastAsia="Times New Roman" w:hAnsi="Times New Roman" w:cs="Times New Roman"/>
          <w:sz w:val="18"/>
          <w:szCs w:val="18"/>
          <w14:ligatures w14:val="none"/>
        </w:rPr>
        <w:t>Obal léčivého přípravku obsahuje kaučuk (latex). Může způsobit těžké alergické reakce.</w:t>
      </w:r>
    </w:p>
    <w:bookmarkEnd w:id="0"/>
    <w:p w14:paraId="6F42D703"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723F77A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Stejně jako jiné vakcíny nemusí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zcela chránit všechny očkované osoby.</w:t>
      </w:r>
    </w:p>
    <w:p w14:paraId="07DE8C0E"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7FAF99B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Informujte prosím svého lékaře, pokud Vy nebo Vaše dítě jste v minulosti prodělal(a)(o) žloutenku nebo pokud jste žil(a)(o) v oblasti, kde je hepatitida A běžná. Lékař určí, zda máte být před očkováním vyšetřeni na protilátky proti hepatitidě A.</w:t>
      </w:r>
    </w:p>
    <w:p w14:paraId="0EA94798"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0F2C4F97"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 xml:space="preserve">Další léčivé přípravky a přípravek </w:t>
      </w:r>
      <w:proofErr w:type="spellStart"/>
      <w:r w:rsidRPr="002320E0">
        <w:rPr>
          <w:rFonts w:ascii="Times New Roman" w:eastAsia="Times New Roman" w:hAnsi="Times New Roman" w:cs="Times New Roman"/>
          <w:b/>
          <w:bCs/>
          <w:sz w:val="18"/>
          <w:szCs w:val="18"/>
          <w:lang w:eastAsia="cs-CZ"/>
          <w14:ligatures w14:val="none"/>
        </w:rPr>
        <w:t>Vaqta</w:t>
      </w:r>
      <w:proofErr w:type="spellEnd"/>
      <w:r w:rsidRPr="002320E0">
        <w:rPr>
          <w:rFonts w:ascii="Times New Roman" w:eastAsia="Times New Roman" w:hAnsi="Times New Roman" w:cs="Times New Roman"/>
          <w:b/>
          <w:bCs/>
          <w:sz w:val="18"/>
          <w:szCs w:val="18"/>
          <w:lang w:eastAsia="cs-CZ"/>
          <w14:ligatures w14:val="none"/>
        </w:rPr>
        <w:t xml:space="preserve"> </w:t>
      </w:r>
      <w:proofErr w:type="spellStart"/>
      <w:r w:rsidRPr="002320E0">
        <w:rPr>
          <w:rFonts w:ascii="Times New Roman" w:eastAsia="Times New Roman" w:hAnsi="Times New Roman" w:cs="Times New Roman"/>
          <w:b/>
          <w:bCs/>
          <w:sz w:val="18"/>
          <w:szCs w:val="18"/>
          <w:lang w:eastAsia="cs-CZ"/>
          <w14:ligatures w14:val="none"/>
        </w:rPr>
        <w:t>Pediatric</w:t>
      </w:r>
      <w:proofErr w:type="spellEnd"/>
      <w:r w:rsidRPr="002320E0">
        <w:rPr>
          <w:rFonts w:ascii="Times New Roman" w:eastAsia="Times New Roman" w:hAnsi="Times New Roman" w:cs="Times New Roman"/>
          <w:b/>
          <w:bCs/>
          <w:sz w:val="18"/>
          <w:szCs w:val="18"/>
          <w:lang w:eastAsia="cs-CZ"/>
          <w14:ligatures w14:val="none"/>
        </w:rPr>
        <w:t>/Adolescent</w:t>
      </w:r>
    </w:p>
    <w:p w14:paraId="31F5FE44"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noProof/>
          <w:sz w:val="18"/>
          <w:szCs w:val="18"/>
          <w14:ligatures w14:val="none"/>
        </w:rPr>
        <w:t>Informujte svého lékaře, zdravotní sestru nebo lékárníka o všech lécích, které Vy nebo Vaše dítě užíváte nebo které jste Vy nebo Vaše dítě v nedávné době užíval(a)(o), a to i o lécích, které jsou dostupné bez lékařského předpisu.</w:t>
      </w:r>
    </w:p>
    <w:p w14:paraId="45284933"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58D02D8"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u w:val="single"/>
          <w:lang w:eastAsia="cs-CZ"/>
          <w14:ligatures w14:val="none"/>
        </w:rPr>
      </w:pPr>
      <w:r w:rsidRPr="002320E0">
        <w:rPr>
          <w:rFonts w:ascii="Times New Roman" w:eastAsia="Times New Roman" w:hAnsi="Times New Roman" w:cs="Times New Roman"/>
          <w:sz w:val="18"/>
          <w:szCs w:val="18"/>
          <w:u w:val="single"/>
          <w:lang w:eastAsia="cs-CZ"/>
          <w14:ligatures w14:val="none"/>
        </w:rPr>
        <w:t>Jiné vakcíny</w:t>
      </w:r>
    </w:p>
    <w:p w14:paraId="7DB2DFB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Jelikož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 xml:space="preserve">/Adolescent neobsahuje žádné živé bakterie ani viry, lze ji obecně podávat současně s jinými vakcínami, ale do různých míst (jiných částí těla, např. do druhé ruky nebo nohy).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 xml:space="preserve">/Adolescent se nesmí ve stejné injekční stříkačce mísit s žádnou jinou vakcínou. Studie prokázaly, že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lze podávat současně s vakcínami proti spalničkám, příušnicím, zarděnkám, planým neštovicím, se 7valentní pneumokokovou vakcínou, s inaktivovanou vakcínou proti dětské obrně, s vakcínou obsahující toxoid záškrtu, toxoid tetanu, acelulární pertusi a </w:t>
      </w:r>
      <w:r w:rsidRPr="002320E0">
        <w:rPr>
          <w:rFonts w:ascii="Times New Roman" w:eastAsia="Times New Roman" w:hAnsi="Times New Roman" w:cs="Times New Roman"/>
          <w:i/>
          <w:iCs/>
          <w:sz w:val="18"/>
          <w:szCs w:val="18"/>
          <w:lang w:eastAsia="cs-CZ"/>
          <w14:ligatures w14:val="none"/>
        </w:rPr>
        <w:t xml:space="preserve">Haemophilus </w:t>
      </w:r>
      <w:proofErr w:type="spellStart"/>
      <w:r w:rsidRPr="002320E0">
        <w:rPr>
          <w:rFonts w:ascii="Times New Roman" w:eastAsia="Times New Roman" w:hAnsi="Times New Roman" w:cs="Times New Roman"/>
          <w:i/>
          <w:iCs/>
          <w:sz w:val="18"/>
          <w:szCs w:val="18"/>
          <w:lang w:eastAsia="cs-CZ"/>
          <w14:ligatures w14:val="none"/>
        </w:rPr>
        <w:t>influenzae</w:t>
      </w:r>
      <w:proofErr w:type="spellEnd"/>
      <w:r w:rsidRPr="002320E0">
        <w:rPr>
          <w:rFonts w:ascii="Times New Roman" w:eastAsia="Times New Roman" w:hAnsi="Times New Roman" w:cs="Times New Roman"/>
          <w:i/>
          <w:iCs/>
          <w:sz w:val="18"/>
          <w:szCs w:val="18"/>
          <w:lang w:eastAsia="cs-CZ"/>
          <w14:ligatures w14:val="none"/>
        </w:rPr>
        <w:t> </w:t>
      </w:r>
      <w:r w:rsidRPr="002320E0">
        <w:rPr>
          <w:rFonts w:ascii="Times New Roman" w:eastAsia="Times New Roman" w:hAnsi="Times New Roman" w:cs="Times New Roman"/>
          <w:i/>
          <w:sz w:val="18"/>
          <w:szCs w:val="18"/>
          <w:lang w:eastAsia="cs-CZ"/>
          <w14:ligatures w14:val="none"/>
        </w:rPr>
        <w:t>b</w:t>
      </w:r>
      <w:r w:rsidRPr="002320E0">
        <w:rPr>
          <w:rFonts w:ascii="Times New Roman" w:eastAsia="Times New Roman" w:hAnsi="Times New Roman" w:cs="Times New Roman"/>
          <w:sz w:val="18"/>
          <w:szCs w:val="18"/>
          <w:lang w:eastAsia="cs-CZ"/>
          <w14:ligatures w14:val="none"/>
        </w:rPr>
        <w:t>.</w:t>
      </w:r>
    </w:p>
    <w:p w14:paraId="523DB27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3F38B2B"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U dospělých lze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podávat současně s vakcínou proti žluté zimnici a polysacharidovou vakcínou proti tyfu.</w:t>
      </w:r>
    </w:p>
    <w:p w14:paraId="512EBC9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09061A78"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u w:val="single"/>
          <w:lang w:eastAsia="cs-CZ"/>
          <w14:ligatures w14:val="none"/>
        </w:rPr>
      </w:pPr>
      <w:r w:rsidRPr="002320E0">
        <w:rPr>
          <w:rFonts w:ascii="Times New Roman" w:eastAsia="Times New Roman" w:hAnsi="Times New Roman" w:cs="Times New Roman"/>
          <w:sz w:val="18"/>
          <w:szCs w:val="18"/>
          <w:u w:val="single"/>
          <w:lang w:eastAsia="cs-CZ"/>
          <w14:ligatures w14:val="none"/>
        </w:rPr>
        <w:t>Imunoglobuliny (protilátky)</w:t>
      </w:r>
    </w:p>
    <w:p w14:paraId="4A321BC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Někdy Vám bude podána injekce s lidským imunoglobulinem (protilátkami) s cílem pokusit se o ochranu Vás nebo Vašeho dítěte do té doby, než začne vakcína působit.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lze podávat současně s lidským imunoglobulinem (protilátkami) za předpokladu, že se podají do různých míst.</w:t>
      </w:r>
    </w:p>
    <w:p w14:paraId="7F5F6A64"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0A816FC6"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u w:val="single"/>
          <w:lang w:eastAsia="cs-CZ"/>
          <w14:ligatures w14:val="none"/>
        </w:rPr>
      </w:pPr>
      <w:r w:rsidRPr="002320E0">
        <w:rPr>
          <w:rFonts w:ascii="Times New Roman" w:eastAsia="Times New Roman" w:hAnsi="Times New Roman" w:cs="Times New Roman"/>
          <w:sz w:val="18"/>
          <w:szCs w:val="18"/>
          <w:u w:val="single"/>
          <w:lang w:eastAsia="cs-CZ"/>
          <w14:ligatures w14:val="none"/>
        </w:rPr>
        <w:t>Léčiva ovlivňující imunitní systém nebo krev</w:t>
      </w:r>
    </w:p>
    <w:p w14:paraId="22A9B2B5" w14:textId="6FB00411"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Přečtěte si prosím bod „Upozornění a opatření“ uvedený výše.</w:t>
      </w:r>
    </w:p>
    <w:p w14:paraId="633990EF"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327A1018"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Těhotenství a kojení</w:t>
      </w:r>
    </w:p>
    <w:p w14:paraId="0FC83872"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p>
    <w:p w14:paraId="0F2A2B1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Pokud jste Vy nebo Vaše dcera těhotná nebo kojíte, domníváte se, že můžete být těhotná, nebo plánujete otěhotnět, poraďte se se svým lékařem dříve, než Vám bude tento přípravek podán. Lékař rozhodne, zda máte Vy nebo Vaše dcera vakcínu dostat.</w:t>
      </w:r>
    </w:p>
    <w:p w14:paraId="5FC38AE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6BB4F504"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Řízení dopravních prostředků a obsluha strojů</w:t>
      </w:r>
    </w:p>
    <w:p w14:paraId="18289BA2"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p>
    <w:p w14:paraId="68E74F0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Neexistují žádné údaje, které by naznačovaly, že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má vliv na schopnost řídit nebo obsluhovat stroje.</w:t>
      </w:r>
    </w:p>
    <w:p w14:paraId="0CCF635D"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0B239385"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 xml:space="preserve">Přípravek </w:t>
      </w:r>
      <w:proofErr w:type="spellStart"/>
      <w:r w:rsidRPr="002320E0">
        <w:rPr>
          <w:rFonts w:ascii="Times New Roman" w:eastAsia="Times New Roman" w:hAnsi="Times New Roman" w:cs="Times New Roman"/>
          <w:b/>
          <w:sz w:val="18"/>
          <w:szCs w:val="18"/>
          <w:lang w:eastAsia="cs-CZ"/>
          <w14:ligatures w14:val="none"/>
        </w:rPr>
        <w:t>Vaqta</w:t>
      </w:r>
      <w:proofErr w:type="spellEnd"/>
      <w:r w:rsidRPr="002320E0">
        <w:rPr>
          <w:rFonts w:ascii="Times New Roman" w:eastAsia="Times New Roman" w:hAnsi="Times New Roman" w:cs="Times New Roman"/>
          <w:b/>
          <w:sz w:val="18"/>
          <w:szCs w:val="18"/>
          <w:lang w:eastAsia="cs-CZ"/>
          <w14:ligatures w14:val="none"/>
        </w:rPr>
        <w:t xml:space="preserve"> </w:t>
      </w:r>
      <w:proofErr w:type="spellStart"/>
      <w:r w:rsidRPr="002320E0">
        <w:rPr>
          <w:rFonts w:ascii="Times New Roman" w:eastAsia="Times New Roman" w:hAnsi="Times New Roman" w:cs="Times New Roman"/>
          <w:b/>
          <w:sz w:val="18"/>
          <w:szCs w:val="18"/>
          <w:lang w:eastAsia="cs-CZ"/>
          <w14:ligatures w14:val="none"/>
        </w:rPr>
        <w:t>Pediatric</w:t>
      </w:r>
      <w:proofErr w:type="spellEnd"/>
      <w:r w:rsidRPr="002320E0">
        <w:rPr>
          <w:rFonts w:ascii="Times New Roman" w:eastAsia="Times New Roman" w:hAnsi="Times New Roman" w:cs="Times New Roman"/>
          <w:b/>
          <w:sz w:val="18"/>
          <w:szCs w:val="18"/>
          <w:lang w:eastAsia="cs-CZ"/>
          <w14:ligatures w14:val="none"/>
        </w:rPr>
        <w:t>/Adolescent obsahuje sodík</w:t>
      </w:r>
    </w:p>
    <w:p w14:paraId="6EDF19A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Tento léčivý přípravek obsahuje méně než 1 mmol (23 mg) sodíku v jedné dávce, to znamená, že je v podstatě „bez sodíku“. </w:t>
      </w:r>
    </w:p>
    <w:p w14:paraId="7FE7E85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7EC864BB"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68CD5D22" w14:textId="77777777" w:rsidR="002320E0" w:rsidRPr="002320E0" w:rsidRDefault="002320E0" w:rsidP="002320E0">
      <w:pPr>
        <w:keepNext/>
        <w:keepLines/>
        <w:autoSpaceDE w:val="0"/>
        <w:autoSpaceDN w:val="0"/>
        <w:adjustRightInd w:val="0"/>
        <w:spacing w:after="0" w:line="240" w:lineRule="auto"/>
        <w:ind w:left="567" w:hanging="567"/>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3.</w:t>
      </w:r>
      <w:r w:rsidRPr="002320E0">
        <w:rPr>
          <w:rFonts w:ascii="Times New Roman" w:eastAsia="Times New Roman" w:hAnsi="Times New Roman" w:cs="Times New Roman"/>
          <w:b/>
          <w:bCs/>
          <w:sz w:val="18"/>
          <w:szCs w:val="18"/>
          <w:lang w:eastAsia="cs-CZ"/>
          <w14:ligatures w14:val="none"/>
        </w:rPr>
        <w:tab/>
        <w:t xml:space="preserve">Jak se přípravek </w:t>
      </w:r>
      <w:proofErr w:type="spellStart"/>
      <w:r w:rsidRPr="002320E0">
        <w:rPr>
          <w:rFonts w:ascii="Times New Roman" w:eastAsia="Times New Roman" w:hAnsi="Times New Roman" w:cs="Times New Roman"/>
          <w:b/>
          <w:bCs/>
          <w:sz w:val="18"/>
          <w:szCs w:val="18"/>
          <w:lang w:eastAsia="cs-CZ"/>
          <w14:ligatures w14:val="none"/>
        </w:rPr>
        <w:t>Vaqta</w:t>
      </w:r>
      <w:proofErr w:type="spellEnd"/>
      <w:r w:rsidRPr="002320E0">
        <w:rPr>
          <w:rFonts w:ascii="Times New Roman" w:eastAsia="Times New Roman" w:hAnsi="Times New Roman" w:cs="Times New Roman"/>
          <w:b/>
          <w:bCs/>
          <w:sz w:val="18"/>
          <w:szCs w:val="18"/>
          <w:lang w:eastAsia="cs-CZ"/>
          <w14:ligatures w14:val="none"/>
        </w:rPr>
        <w:t xml:space="preserve"> </w:t>
      </w:r>
      <w:proofErr w:type="spellStart"/>
      <w:r w:rsidRPr="002320E0">
        <w:rPr>
          <w:rFonts w:ascii="Times New Roman" w:eastAsia="Times New Roman" w:hAnsi="Times New Roman" w:cs="Times New Roman"/>
          <w:b/>
          <w:bCs/>
          <w:sz w:val="18"/>
          <w:szCs w:val="18"/>
          <w:lang w:eastAsia="cs-CZ"/>
          <w14:ligatures w14:val="none"/>
        </w:rPr>
        <w:t>Pediatric</w:t>
      </w:r>
      <w:proofErr w:type="spellEnd"/>
      <w:r w:rsidRPr="002320E0">
        <w:rPr>
          <w:rFonts w:ascii="Times New Roman" w:eastAsia="Times New Roman" w:hAnsi="Times New Roman" w:cs="Times New Roman"/>
          <w:b/>
          <w:bCs/>
          <w:sz w:val="18"/>
          <w:szCs w:val="18"/>
          <w:lang w:eastAsia="cs-CZ"/>
          <w14:ligatures w14:val="none"/>
        </w:rPr>
        <w:t>/Adolescent podává</w:t>
      </w:r>
    </w:p>
    <w:p w14:paraId="297ABD4A"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64BC94D9"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Dávkování</w:t>
      </w:r>
    </w:p>
    <w:p w14:paraId="31A74849"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798CF13B"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musí být podán ve formě injekce lékařem nebo zdravotní sestrou, kteří jsou vyškoleni v podávání vakcín, a kteří jsou vybaveni ke zvládání vzácných závažných alergických reakcí. Očkovaná osoba dostane dávku základního očkování a po ní bude následovat dávka druhá (posilovací).</w:t>
      </w:r>
    </w:p>
    <w:p w14:paraId="2F0F6709"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7CF08ED2"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u w:val="single"/>
          <w:lang w:eastAsia="cs-CZ"/>
          <w14:ligatures w14:val="none"/>
        </w:rPr>
      </w:pPr>
      <w:r w:rsidRPr="002320E0">
        <w:rPr>
          <w:rFonts w:ascii="Times New Roman" w:eastAsia="Times New Roman" w:hAnsi="Times New Roman" w:cs="Times New Roman"/>
          <w:sz w:val="18"/>
          <w:szCs w:val="18"/>
          <w:u w:val="single"/>
          <w:lang w:eastAsia="cs-CZ"/>
          <w14:ligatures w14:val="none"/>
        </w:rPr>
        <w:t>První dávka</w:t>
      </w:r>
    </w:p>
    <w:p w14:paraId="33A4043A"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642FB5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Děti ve věku 12 měsíců až 17 let dostanou injekčně jednu 0,5ml dávku (25 U) ve zvolený den.</w:t>
      </w:r>
    </w:p>
    <w:p w14:paraId="42B0088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První dávka vakcíny by měla chránit Vaše dítě před infekcí virem hepatitidy A za 2 až 4 týdny.</w:t>
      </w:r>
    </w:p>
    <w:p w14:paraId="7643DC0F"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45E346C"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Bezpečnost a účinnost u dětí mladších 12 měsíců nebyly stanoveny.</w:t>
      </w:r>
    </w:p>
    <w:p w14:paraId="4D0DC83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4C68334"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u w:val="single"/>
          <w:lang w:eastAsia="cs-CZ"/>
          <w14:ligatures w14:val="none"/>
        </w:rPr>
      </w:pPr>
      <w:r w:rsidRPr="002320E0">
        <w:rPr>
          <w:rFonts w:ascii="Times New Roman" w:eastAsia="Times New Roman" w:hAnsi="Times New Roman" w:cs="Times New Roman"/>
          <w:sz w:val="18"/>
          <w:szCs w:val="18"/>
          <w:u w:val="single"/>
          <w:lang w:eastAsia="cs-CZ"/>
          <w14:ligatures w14:val="none"/>
        </w:rPr>
        <w:t>Druhá (posilovací) dávka</w:t>
      </w:r>
    </w:p>
    <w:p w14:paraId="6EA43595"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CA89136" w14:textId="73E62086"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Jedinci, jimž byla podána první dávka vakcíny, dostanou o</w:t>
      </w:r>
      <w:r w:rsidR="00162132">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sz w:val="18"/>
          <w:szCs w:val="18"/>
          <w:lang w:eastAsia="cs-CZ"/>
          <w14:ligatures w14:val="none"/>
        </w:rPr>
        <w:t>6 až 18 měsíců později druhou (posilovací) 0,5ml dávku (25 U).</w:t>
      </w:r>
    </w:p>
    <w:p w14:paraId="59D796AA"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EBBCDA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Dlouhodobá ochrana vyžaduje druhou (posilovací) dávku. Bylo zjištěno, že zdravé děti, které dostaly dvě dávky, mají dostatečné hladiny protilátek nejméně po dobu 10 let. Předpokládá se, že protilátky proti hepatitidě A budou přetrvávat nejméně 25 let po očkování.</w:t>
      </w:r>
    </w:p>
    <w:p w14:paraId="45CC531C"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4A9D26CC" w14:textId="008E3531"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se nedoporučuje u</w:t>
      </w:r>
      <w:r w:rsidR="0051216B">
        <w:rPr>
          <w:rFonts w:ascii="Times New Roman" w:eastAsia="Times New Roman" w:hAnsi="Times New Roman" w:cs="Times New Roman"/>
          <w:sz w:val="18"/>
          <w:szCs w:val="18"/>
          <w:lang w:eastAsia="cs-CZ"/>
          <w14:ligatures w14:val="none"/>
        </w:rPr>
        <w:t> </w:t>
      </w:r>
      <w:r w:rsidRPr="002320E0">
        <w:rPr>
          <w:rFonts w:ascii="Times New Roman" w:eastAsia="Times New Roman" w:hAnsi="Times New Roman" w:cs="Times New Roman"/>
          <w:sz w:val="18"/>
          <w:szCs w:val="18"/>
          <w:lang w:eastAsia="cs-CZ"/>
          <w14:ligatures w14:val="none"/>
        </w:rPr>
        <w:t>jedinců starších než 18 let.</w:t>
      </w:r>
    </w:p>
    <w:p w14:paraId="09E640D8"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6152650D"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Způsob podání</w:t>
      </w:r>
    </w:p>
    <w:p w14:paraId="30FB819C"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BA8080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Lékař nebo zdravotní sestra Vám podá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 xml:space="preserve">/Adolescent jako injekci do svalu v horní části </w:t>
      </w:r>
      <w:r w:rsidRPr="002320E0">
        <w:rPr>
          <w:rFonts w:ascii="Times New Roman" w:eastAsia="Times New Roman" w:hAnsi="Times New Roman" w:cs="Times New Roman"/>
          <w:sz w:val="18"/>
          <w:szCs w:val="18"/>
          <w:lang w:eastAsia="cs-CZ"/>
          <w14:ligatures w14:val="none"/>
        </w:rPr>
        <w:lastRenderedPageBreak/>
        <w:t>paže (deltový sval). U dětí lze použít sval na vnější straně stehna, pokud deltový sval není dostatečně vyvinutý.</w:t>
      </w:r>
    </w:p>
    <w:p w14:paraId="3847C908"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4F81A5D"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Lidé ohrožení velkým krvácením po injekci (pacienti s vrozenou poruchou srážlivosti krve, např. pacienti s hemofilií) mohou dostat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jako podkožní injekci, ale ne jako injekci do svalu, aby se snížilo riziko krvácení.</w:t>
      </w:r>
    </w:p>
    <w:p w14:paraId="2D182F3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 xml:space="preserve">/Adolescent se nesmí podat do cévy. </w:t>
      </w:r>
    </w:p>
    <w:p w14:paraId="13D7104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3C97D3A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279F6411" w14:textId="77777777" w:rsidR="002320E0" w:rsidRPr="002320E0" w:rsidRDefault="002320E0" w:rsidP="002320E0">
      <w:pPr>
        <w:keepNext/>
        <w:keepLines/>
        <w:autoSpaceDE w:val="0"/>
        <w:autoSpaceDN w:val="0"/>
        <w:adjustRightInd w:val="0"/>
        <w:spacing w:after="0" w:line="240" w:lineRule="auto"/>
        <w:ind w:left="567" w:hanging="567"/>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4.</w:t>
      </w:r>
      <w:r w:rsidRPr="002320E0">
        <w:rPr>
          <w:rFonts w:ascii="Times New Roman" w:eastAsia="Times New Roman" w:hAnsi="Times New Roman" w:cs="Times New Roman"/>
          <w:b/>
          <w:bCs/>
          <w:sz w:val="18"/>
          <w:szCs w:val="18"/>
          <w:lang w:eastAsia="cs-CZ"/>
          <w14:ligatures w14:val="none"/>
        </w:rPr>
        <w:tab/>
        <w:t>Možné nežádoucí účinky</w:t>
      </w:r>
    </w:p>
    <w:p w14:paraId="28CEB512"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1D0545AA" w14:textId="0DDE926C" w:rsidR="002320E0" w:rsidRPr="002320E0" w:rsidRDefault="002320E0" w:rsidP="002320E0">
      <w:pPr>
        <w:widowControl w:val="0"/>
        <w:numPr>
          <w:ilvl w:val="12"/>
          <w:numId w:val="0"/>
        </w:numPr>
        <w:spacing w:after="0" w:line="240" w:lineRule="auto"/>
        <w:ind w:right="-29"/>
        <w:outlineLvl w:val="0"/>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Podobně jako všechny léky, může mít i tento přípravek</w:t>
      </w:r>
      <w:r w:rsidRPr="002320E0">
        <w:rPr>
          <w:rFonts w:ascii="Times New Roman" w:eastAsia="Times New Roman" w:hAnsi="Times New Roman" w:cs="Times New Roman"/>
          <w:sz w:val="18"/>
          <w:szCs w:val="18"/>
          <w:lang w:eastAsia="cs-CZ"/>
          <w14:ligatures w14:val="none"/>
        </w:rPr>
        <w:t xml:space="preserve"> </w:t>
      </w:r>
      <w:r w:rsidRPr="002320E0">
        <w:rPr>
          <w:rFonts w:ascii="Times New Roman" w:eastAsia="Times New Roman" w:hAnsi="Times New Roman" w:cs="Times New Roman"/>
          <w:noProof/>
          <w:sz w:val="18"/>
          <w:szCs w:val="18"/>
          <w14:ligatures w14:val="none"/>
        </w:rPr>
        <w:t>nežádoucí účinky, které se ale nemusí vyskytnout u</w:t>
      </w:r>
      <w:r w:rsidR="0051216B">
        <w:rPr>
          <w:rFonts w:ascii="Times New Roman" w:eastAsia="Times New Roman" w:hAnsi="Times New Roman" w:cs="Times New Roman"/>
          <w:noProof/>
          <w:sz w:val="18"/>
          <w:szCs w:val="18"/>
          <w14:ligatures w14:val="none"/>
        </w:rPr>
        <w:t> </w:t>
      </w:r>
      <w:r w:rsidRPr="002320E0">
        <w:rPr>
          <w:rFonts w:ascii="Times New Roman" w:eastAsia="Times New Roman" w:hAnsi="Times New Roman" w:cs="Times New Roman"/>
          <w:noProof/>
          <w:sz w:val="18"/>
          <w:szCs w:val="18"/>
          <w14:ligatures w14:val="none"/>
        </w:rPr>
        <w:t>každého.</w:t>
      </w:r>
    </w:p>
    <w:p w14:paraId="6E4E413A"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4B29504C"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Jako u všech vakcín se mohou vyskytnout alergické reakce, ve vzácných případech vedoucí k šoku. Tyto reakce mohou zahrnovat:</w:t>
      </w:r>
    </w:p>
    <w:p w14:paraId="0AFA41C3" w14:textId="77777777" w:rsidR="002320E0" w:rsidRPr="002320E0" w:rsidRDefault="002320E0" w:rsidP="002320E0">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kopřivku</w:t>
      </w:r>
    </w:p>
    <w:p w14:paraId="3DB99AA0" w14:textId="77777777" w:rsidR="002320E0" w:rsidRPr="002320E0" w:rsidRDefault="002320E0" w:rsidP="002320E0">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potíže s dýcháním</w:t>
      </w:r>
    </w:p>
    <w:p w14:paraId="146DBC3A" w14:textId="77777777" w:rsidR="002320E0" w:rsidRPr="002320E0" w:rsidRDefault="002320E0" w:rsidP="002320E0">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otok obličeje, jazyka a hrdla</w:t>
      </w:r>
    </w:p>
    <w:p w14:paraId="50DAB737" w14:textId="77777777" w:rsidR="002320E0" w:rsidRPr="002320E0" w:rsidRDefault="002320E0" w:rsidP="002320E0">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závrať</w:t>
      </w:r>
    </w:p>
    <w:p w14:paraId="71B39105" w14:textId="77777777" w:rsidR="002320E0" w:rsidRPr="002320E0" w:rsidRDefault="002320E0" w:rsidP="002320E0">
      <w:pPr>
        <w:widowControl w:val="0"/>
        <w:numPr>
          <w:ilvl w:val="0"/>
          <w:numId w:val="3"/>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kolaps</w:t>
      </w:r>
    </w:p>
    <w:p w14:paraId="10CF571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Pokud se tyto známky nebo příznaky objeví, obvykle se vyvinou velmi rychle po podání injekce, tedy v době, kdy ještě jste Vy nebo Vaše dítě v ordinaci nebo ve zdravotnickém zařízení. </w:t>
      </w:r>
      <w:r w:rsidRPr="002320E0">
        <w:rPr>
          <w:rFonts w:ascii="Times New Roman" w:eastAsia="Times New Roman" w:hAnsi="Times New Roman" w:cs="Times New Roman"/>
          <w:b/>
          <w:bCs/>
          <w:sz w:val="18"/>
          <w:szCs w:val="18"/>
          <w:lang w:eastAsia="cs-CZ"/>
          <w14:ligatures w14:val="none"/>
        </w:rPr>
        <w:t>Pokud se však tyto příznaky objeví poté, co opustíte místo, kde Vám nebo Vašemu dítěti byla injekce podána, IHNED se obraťte na lékaře.</w:t>
      </w:r>
    </w:p>
    <w:p w14:paraId="7D4BF087"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65576493"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Nežádoucí účinky hlášené v klinických studiích zahrnují:</w:t>
      </w:r>
    </w:p>
    <w:p w14:paraId="64BA4D37"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5A3133CF"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Nežádoucí účinky hlášené u dětí ve věku 12 až 23 měsíců</w:t>
      </w:r>
    </w:p>
    <w:p w14:paraId="2C9D7D91"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0E6F6B3"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Velmi časté nežádoucí účinky</w:t>
      </w:r>
      <w:r w:rsidRPr="002320E0">
        <w:rPr>
          <w:rFonts w:ascii="Times New Roman" w:eastAsia="Times New Roman" w:hAnsi="Times New Roman" w:cs="Times New Roman"/>
          <w:sz w:val="18"/>
          <w:szCs w:val="18"/>
          <w:lang w:eastAsia="cs-CZ"/>
          <w14:ligatures w14:val="none"/>
        </w:rPr>
        <w:t xml:space="preserve"> (hlášeny u více než 1 z 10 osob):</w:t>
      </w:r>
    </w:p>
    <w:p w14:paraId="2792EE65"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bolest/citlivost v místě aplikace injekce a zarudnutí v místě aplikace injekce</w:t>
      </w:r>
    </w:p>
    <w:p w14:paraId="4AD06977"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86ACCBA"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Časté nežádoucí účinky</w:t>
      </w:r>
      <w:r w:rsidRPr="002320E0">
        <w:rPr>
          <w:rFonts w:ascii="Times New Roman" w:eastAsia="Times New Roman" w:hAnsi="Times New Roman" w:cs="Times New Roman"/>
          <w:sz w:val="18"/>
          <w:szCs w:val="18"/>
          <w:lang w:eastAsia="cs-CZ"/>
          <w14:ligatures w14:val="none"/>
        </w:rPr>
        <w:t xml:space="preserve"> (hlášeny až u 1 z 10 osob):</w:t>
      </w:r>
    </w:p>
    <w:p w14:paraId="743CD4E2"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otok v místě aplikace injekce, teplo v místě aplikace injekce, podlitina v místě aplikace injekce</w:t>
      </w:r>
    </w:p>
    <w:p w14:paraId="5CBFCFB8"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horečka</w:t>
      </w:r>
    </w:p>
    <w:p w14:paraId="4590BC28"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podrážděnost</w:t>
      </w:r>
    </w:p>
    <w:p w14:paraId="5C8F1D1A"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průjem</w:t>
      </w:r>
    </w:p>
    <w:p w14:paraId="795C4EBA"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65451F11"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Méně časté nežádoucí účinky</w:t>
      </w:r>
      <w:r w:rsidRPr="002320E0">
        <w:rPr>
          <w:rFonts w:ascii="Times New Roman" w:eastAsia="Times New Roman" w:hAnsi="Times New Roman" w:cs="Times New Roman"/>
          <w:sz w:val="18"/>
          <w:szCs w:val="18"/>
          <w:lang w:eastAsia="cs-CZ"/>
          <w14:ligatures w14:val="none"/>
        </w:rPr>
        <w:t xml:space="preserve"> (hlášeny až u 1 ze 100 osob):</w:t>
      </w:r>
    </w:p>
    <w:p w14:paraId="27C5C5CA"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pokles nebo ztráta chuti k jídlu</w:t>
      </w:r>
    </w:p>
    <w:p w14:paraId="69419E76"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neklidný spánek, ospalost, pocit únavy nebo ospalosti nebo nedostatek energie, neklid</w:t>
      </w:r>
    </w:p>
    <w:p w14:paraId="15690B08"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pláč</w:t>
      </w:r>
    </w:p>
    <w:p w14:paraId="79D8F68A"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výtok z nosu, kašel, ucpaný nos</w:t>
      </w:r>
    </w:p>
    <w:p w14:paraId="1376F4A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zvracení</w:t>
      </w:r>
    </w:p>
    <w:p w14:paraId="5594B9DB"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vyrážka, vyrážka v místě plenek („plenková dermatitida“)</w:t>
      </w:r>
    </w:p>
    <w:p w14:paraId="45AAE4D2"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pocit nepohody</w:t>
      </w:r>
    </w:p>
    <w:p w14:paraId="4819131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zatvrdnutí v místě aplikace injekce, vyrážka v místě </w:t>
      </w:r>
      <w:r w:rsidRPr="002320E0">
        <w:rPr>
          <w:rFonts w:ascii="Times New Roman" w:eastAsia="Times New Roman" w:hAnsi="Times New Roman" w:cs="Times New Roman"/>
          <w:sz w:val="18"/>
          <w:szCs w:val="18"/>
          <w:lang w:eastAsia="cs-CZ"/>
          <w14:ligatures w14:val="none"/>
        </w:rPr>
        <w:t xml:space="preserve">aplikace injekce </w:t>
      </w:r>
    </w:p>
    <w:p w14:paraId="04FE7283"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307BC98F"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Vzácné nežádoucí účinky</w:t>
      </w:r>
      <w:r w:rsidRPr="002320E0">
        <w:rPr>
          <w:rFonts w:ascii="Times New Roman" w:eastAsia="Times New Roman" w:hAnsi="Times New Roman" w:cs="Times New Roman"/>
          <w:sz w:val="18"/>
          <w:szCs w:val="18"/>
          <w:lang w:eastAsia="cs-CZ"/>
          <w14:ligatures w14:val="none"/>
        </w:rPr>
        <w:t xml:space="preserve"> (hlášeny až u 1 z 1 000 osob):</w:t>
      </w:r>
    </w:p>
    <w:p w14:paraId="17F02EBF"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různé alergie</w:t>
      </w:r>
    </w:p>
    <w:p w14:paraId="743E06E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dehydratace (odvodnění organismu)</w:t>
      </w:r>
    </w:p>
    <w:p w14:paraId="0A9C1B53"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vzrušení, nervozita, strach, křik</w:t>
      </w:r>
    </w:p>
    <w:p w14:paraId="21D0EA3D"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závrať, bolest hlavy, ztráta rovnováhy</w:t>
      </w:r>
    </w:p>
    <w:p w14:paraId="66B6EAA5"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strupy na okrajích víček</w:t>
      </w:r>
    </w:p>
    <w:p w14:paraId="12549688"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astma, zúžení dýchacích cest, kýchání, výtok z nosu nebo svědění v nose, bolest v ústech nebo hrdle</w:t>
      </w:r>
    </w:p>
    <w:p w14:paraId="521FAA0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pocit na zvracení (nauzea), bolest/nepříjemné pocity v žaludku, nadměrná plynatost v žaludku nebo ve střevech, časté pohyby střev, říhání, </w:t>
      </w:r>
      <w:proofErr w:type="spellStart"/>
      <w:r w:rsidRPr="002320E0">
        <w:rPr>
          <w:rFonts w:ascii="Times New Roman" w:eastAsia="Times New Roman" w:hAnsi="Times New Roman" w:cs="Times New Roman"/>
          <w:sz w:val="18"/>
          <w:szCs w:val="18"/>
          <w:lang w:eastAsia="cs-CZ"/>
          <w14:ligatures w14:val="none"/>
        </w:rPr>
        <w:t>ublinkávání</w:t>
      </w:r>
      <w:proofErr w:type="spellEnd"/>
      <w:r w:rsidRPr="002320E0">
        <w:rPr>
          <w:rFonts w:ascii="Times New Roman" w:eastAsia="Times New Roman" w:hAnsi="Times New Roman" w:cs="Times New Roman"/>
          <w:sz w:val="18"/>
          <w:szCs w:val="18"/>
          <w:lang w:eastAsia="cs-CZ"/>
          <w14:ligatures w14:val="none"/>
        </w:rPr>
        <w:t>, zácpa, změna barvy stolice</w:t>
      </w:r>
    </w:p>
    <w:p w14:paraId="23CAF1D0"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vyrážka, svědící a zarudlá kůže, puchýře, lepivá nebo teplá kůže, pocení</w:t>
      </w:r>
    </w:p>
    <w:p w14:paraId="3BAB8A8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zánět kloubů</w:t>
      </w:r>
    </w:p>
    <w:p w14:paraId="3EEE78AB"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 místě aplikace injekce: krvácení, svědění, změna barvy, zatvrdnutí nebo svědění kůže; bolest, nepříjemný pocit</w:t>
      </w:r>
    </w:p>
    <w:p w14:paraId="5D981C3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únava, abnormální chůze, pocit horka</w:t>
      </w:r>
    </w:p>
    <w:p w14:paraId="2F7FAA53"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bCs/>
          <w:sz w:val="18"/>
          <w:szCs w:val="18"/>
          <w:lang w:eastAsia="cs-CZ"/>
          <w14:ligatures w14:val="none"/>
        </w:rPr>
      </w:pPr>
    </w:p>
    <w:p w14:paraId="4FB5F00B"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r w:rsidRPr="002320E0">
        <w:rPr>
          <w:rFonts w:ascii="Times New Roman" w:eastAsia="Times New Roman" w:hAnsi="Times New Roman" w:cs="Times New Roman"/>
          <w:b/>
          <w:bCs/>
          <w:sz w:val="18"/>
          <w:szCs w:val="18"/>
          <w:lang w:eastAsia="cs-CZ"/>
          <w14:ligatures w14:val="none"/>
        </w:rPr>
        <w:t>Nežádoucí účinky hlášené u dětí ve věku 2 až 17 let</w:t>
      </w:r>
    </w:p>
    <w:p w14:paraId="11C6B130"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b/>
          <w:bCs/>
          <w:sz w:val="18"/>
          <w:szCs w:val="18"/>
          <w:lang w:eastAsia="cs-CZ"/>
          <w14:ligatures w14:val="none"/>
        </w:rPr>
      </w:pPr>
    </w:p>
    <w:p w14:paraId="0E883417"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Velmi časté nežádoucí účinky</w:t>
      </w:r>
      <w:r w:rsidRPr="002320E0">
        <w:rPr>
          <w:rFonts w:ascii="Times New Roman" w:eastAsia="Times New Roman" w:hAnsi="Times New Roman" w:cs="Times New Roman"/>
          <w:sz w:val="18"/>
          <w:szCs w:val="18"/>
          <w:lang w:eastAsia="cs-CZ"/>
          <w14:ligatures w14:val="none"/>
        </w:rPr>
        <w:t xml:space="preserve"> (hlášeny u více než 1 z 10 osob):</w:t>
      </w:r>
    </w:p>
    <w:p w14:paraId="1A430BEF"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 a citlivost v místě aplikace injekce</w:t>
      </w:r>
    </w:p>
    <w:p w14:paraId="192D7E6F"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01581B0E"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Časté nežádoucí účinky</w:t>
      </w:r>
      <w:r w:rsidRPr="002320E0">
        <w:rPr>
          <w:rFonts w:ascii="Times New Roman" w:eastAsia="Times New Roman" w:hAnsi="Times New Roman" w:cs="Times New Roman"/>
          <w:sz w:val="18"/>
          <w:szCs w:val="18"/>
          <w:lang w:eastAsia="cs-CZ"/>
          <w14:ligatures w14:val="none"/>
        </w:rPr>
        <w:t xml:space="preserve"> (hlášeny až u 1 z 10 osob):</w:t>
      </w:r>
    </w:p>
    <w:p w14:paraId="2C129A70"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 hlavy</w:t>
      </w:r>
    </w:p>
    <w:p w14:paraId="60BB96EC"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teplo, zarudnutí a otok v místě aplikace injekce, horečka, krvácení pod kůži v místě aplikace injekce (ekchymóza)</w:t>
      </w:r>
    </w:p>
    <w:p w14:paraId="1799D81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04034E7C"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Méně časté nežádoucí účinky</w:t>
      </w:r>
      <w:r w:rsidRPr="002320E0">
        <w:rPr>
          <w:rFonts w:ascii="Times New Roman" w:eastAsia="Times New Roman" w:hAnsi="Times New Roman" w:cs="Times New Roman"/>
          <w:sz w:val="18"/>
          <w:szCs w:val="18"/>
          <w:lang w:eastAsia="cs-CZ"/>
          <w14:ligatures w14:val="none"/>
        </w:rPr>
        <w:t xml:space="preserve"> (hlášeny až u 1 ze 100 osob):</w:t>
      </w:r>
    </w:p>
    <w:p w14:paraId="0DE6AF03"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podrážděnost</w:t>
      </w:r>
    </w:p>
    <w:p w14:paraId="65D4AFE6"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závrať</w:t>
      </w:r>
    </w:p>
    <w:p w14:paraId="2B6CF208"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 břicha, zvracení, průjem, pocit na zvracení (nauzea)</w:t>
      </w:r>
    </w:p>
    <w:p w14:paraId="0D8DF0D4"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vyrážka, svědění</w:t>
      </w:r>
    </w:p>
    <w:p w14:paraId="195CB947"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 paže (do které byla podána injekce), bolest kloubů, bolest svalů</w:t>
      </w:r>
    </w:p>
    <w:p w14:paraId="153C9E7B"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slabost/únava, svědění a bolest/bolestivost v místě aplikace injekce </w:t>
      </w:r>
    </w:p>
    <w:p w14:paraId="5198855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633F237B"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b/>
          <w:sz w:val="18"/>
          <w:szCs w:val="18"/>
          <w:lang w:eastAsia="cs-CZ"/>
          <w14:ligatures w14:val="none"/>
        </w:rPr>
        <w:t>Vzácné nežádoucí účinky</w:t>
      </w:r>
      <w:r w:rsidRPr="002320E0">
        <w:rPr>
          <w:rFonts w:ascii="Times New Roman" w:eastAsia="Times New Roman" w:hAnsi="Times New Roman" w:cs="Times New Roman"/>
          <w:sz w:val="18"/>
          <w:szCs w:val="18"/>
          <w:lang w:eastAsia="cs-CZ"/>
          <w14:ligatures w14:val="none"/>
        </w:rPr>
        <w:t xml:space="preserve"> (hlášeny až u 1 z 1 000 osob):</w:t>
      </w:r>
    </w:p>
    <w:p w14:paraId="08410239"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ztráta chuti k jídlu</w:t>
      </w:r>
    </w:p>
    <w:p w14:paraId="40FF04B2"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nervozita</w:t>
      </w:r>
    </w:p>
    <w:p w14:paraId="1263FF27"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ospalost, abnormální pocity na kůži, jako je brnění</w:t>
      </w:r>
    </w:p>
    <w:p w14:paraId="21403085"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bolest ucha</w:t>
      </w:r>
    </w:p>
    <w:p w14:paraId="36921E62"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zarudnutí</w:t>
      </w:r>
    </w:p>
    <w:p w14:paraId="1EA454B2"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výtok z nosu nebo ucpaný noc, kašel kopřivka, pocení</w:t>
      </w:r>
    </w:p>
    <w:p w14:paraId="2151E1E5"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ztuhlost</w:t>
      </w:r>
    </w:p>
    <w:p w14:paraId="5D53CEA1" w14:textId="77777777" w:rsidR="002320E0" w:rsidRPr="002320E0" w:rsidRDefault="002320E0" w:rsidP="002320E0">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zatvrdnutí (indurace) v místě aplikace injekce, onemocnění podobné chřipce, bolest na hrudi, bolest, teplo, strup, ztuhlost/napětí a píchání v místě aplikace injekce</w:t>
      </w:r>
    </w:p>
    <w:p w14:paraId="732AD86B"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4DBD6A38"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lastRenderedPageBreak/>
        <w:t>Nežádoucí účinky hlášené po uvedení na trh zahrnují:</w:t>
      </w:r>
    </w:p>
    <w:p w14:paraId="76A0CF2A"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123882E2" w14:textId="77777777" w:rsidR="002320E0" w:rsidRPr="002320E0" w:rsidRDefault="002320E0" w:rsidP="002320E0">
      <w:pPr>
        <w:keepNext/>
        <w:keepLines/>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bookmarkStart w:id="1" w:name="_Hlk14900923"/>
      <w:r w:rsidRPr="002320E0">
        <w:rPr>
          <w:rFonts w:ascii="Times New Roman" w:eastAsia="Times New Roman" w:hAnsi="Times New Roman" w:cs="Times New Roman"/>
          <w:b/>
          <w:sz w:val="18"/>
          <w:szCs w:val="18"/>
          <w:lang w:eastAsia="cs-CZ"/>
          <w14:ligatures w14:val="none"/>
        </w:rPr>
        <w:t>Frekvence není známá</w:t>
      </w:r>
      <w:bookmarkEnd w:id="1"/>
      <w:r w:rsidRPr="002320E0">
        <w:rPr>
          <w:rFonts w:ascii="Times New Roman" w:eastAsia="Times New Roman" w:hAnsi="Times New Roman" w:cs="Times New Roman"/>
          <w:sz w:val="18"/>
          <w:szCs w:val="18"/>
          <w:lang w:eastAsia="cs-CZ"/>
          <w14:ligatures w14:val="none"/>
        </w:rPr>
        <w:t xml:space="preserve"> (</w:t>
      </w:r>
      <w:bookmarkStart w:id="2" w:name="_Hlk14900939"/>
      <w:r w:rsidRPr="002320E0">
        <w:rPr>
          <w:rFonts w:ascii="Times New Roman" w:eastAsia="Times New Roman" w:hAnsi="Times New Roman" w:cs="Times New Roman"/>
          <w:sz w:val="18"/>
          <w:szCs w:val="18"/>
          <w:lang w:eastAsia="cs-CZ"/>
          <w14:ligatures w14:val="none"/>
        </w:rPr>
        <w:t>z dostupných údajů nelze určit</w:t>
      </w:r>
      <w:bookmarkEnd w:id="2"/>
      <w:r w:rsidRPr="002320E0">
        <w:rPr>
          <w:rFonts w:ascii="Times New Roman" w:eastAsia="Times New Roman" w:hAnsi="Times New Roman" w:cs="Times New Roman"/>
          <w:sz w:val="18"/>
          <w:szCs w:val="18"/>
          <w:lang w:eastAsia="cs-CZ"/>
          <w14:ligatures w14:val="none"/>
        </w:rPr>
        <w:t>):</w:t>
      </w:r>
    </w:p>
    <w:p w14:paraId="1D01DF10" w14:textId="77777777" w:rsidR="002320E0" w:rsidRPr="002320E0" w:rsidRDefault="002320E0" w:rsidP="002320E0">
      <w:pPr>
        <w:widowControl w:val="0"/>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proofErr w:type="spellStart"/>
      <w:r w:rsidRPr="002320E0">
        <w:rPr>
          <w:rFonts w:ascii="Times New Roman" w:eastAsia="Times New Roman" w:hAnsi="Times New Roman" w:cs="Times New Roman"/>
          <w:sz w:val="18"/>
          <w:szCs w:val="18"/>
          <w:lang w:eastAsia="cs-CZ"/>
          <w14:ligatures w14:val="none"/>
        </w:rPr>
        <w:t>Guillainův</w:t>
      </w:r>
      <w:proofErr w:type="spellEnd"/>
      <w:r w:rsidRPr="002320E0">
        <w:rPr>
          <w:rFonts w:ascii="Times New Roman" w:eastAsia="Times New Roman" w:hAnsi="Times New Roman" w:cs="Times New Roman"/>
          <w:sz w:val="18"/>
          <w:szCs w:val="18"/>
          <w:lang w:eastAsia="cs-CZ"/>
          <w14:ligatures w14:val="none"/>
        </w:rPr>
        <w:sym w:font="Symbol" w:char="F02D"/>
      </w:r>
      <w:proofErr w:type="spellStart"/>
      <w:r w:rsidRPr="002320E0">
        <w:rPr>
          <w:rFonts w:ascii="Times New Roman" w:eastAsia="Times New Roman" w:hAnsi="Times New Roman" w:cs="Times New Roman"/>
          <w:sz w:val="18"/>
          <w:szCs w:val="18"/>
          <w:lang w:eastAsia="cs-CZ"/>
          <w14:ligatures w14:val="none"/>
        </w:rPr>
        <w:t>Barrého</w:t>
      </w:r>
      <w:proofErr w:type="spellEnd"/>
      <w:r w:rsidRPr="002320E0">
        <w:rPr>
          <w:rFonts w:ascii="Times New Roman" w:eastAsia="Times New Roman" w:hAnsi="Times New Roman" w:cs="Times New Roman"/>
          <w:sz w:val="18"/>
          <w:szCs w:val="18"/>
          <w:lang w:eastAsia="cs-CZ"/>
          <w14:ligatures w14:val="none"/>
        </w:rPr>
        <w:t xml:space="preserve"> syndrom (svalová slabost, abnormální pocity, brnění rukou, nohou a horní části těla)</w:t>
      </w:r>
    </w:p>
    <w:p w14:paraId="6BD71CCF" w14:textId="77777777" w:rsidR="002320E0" w:rsidRPr="002320E0" w:rsidRDefault="002320E0" w:rsidP="002320E0">
      <w:pPr>
        <w:widowControl w:val="0"/>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trombocytopenie (snížení počtu krevních destiček, což zvyšuje riziko krvácení a tvorby modřin)</w:t>
      </w:r>
    </w:p>
    <w:p w14:paraId="367933A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62BF4A48" w14:textId="77777777" w:rsidR="002320E0" w:rsidRPr="002320E0" w:rsidRDefault="002320E0" w:rsidP="002320E0">
      <w:pPr>
        <w:keepNext/>
        <w:keepLines/>
        <w:widowControl w:val="0"/>
        <w:autoSpaceDE w:val="0"/>
        <w:autoSpaceDN w:val="0"/>
        <w:adjustRightInd w:val="0"/>
        <w:spacing w:after="0" w:line="240" w:lineRule="auto"/>
        <w:jc w:val="both"/>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b/>
          <w:noProof/>
          <w:sz w:val="18"/>
          <w:szCs w:val="18"/>
          <w14:ligatures w14:val="none"/>
        </w:rPr>
        <w:t>Hlášení nežádoucích účinků</w:t>
      </w:r>
      <w:r w:rsidRPr="002320E0">
        <w:rPr>
          <w:rFonts w:ascii="Times New Roman" w:eastAsia="Times New Roman" w:hAnsi="Times New Roman" w:cs="Times New Roman"/>
          <w:sz w:val="18"/>
          <w:szCs w:val="18"/>
          <w14:ligatures w14:val="none"/>
        </w:rPr>
        <w:t xml:space="preserve"> </w:t>
      </w:r>
    </w:p>
    <w:p w14:paraId="5F91AA55" w14:textId="77777777" w:rsidR="002320E0" w:rsidRPr="002320E0" w:rsidRDefault="002320E0" w:rsidP="002320E0">
      <w:pPr>
        <w:keepNext/>
        <w:keepLines/>
        <w:widowControl w:val="0"/>
        <w:spacing w:after="0" w:line="240" w:lineRule="auto"/>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 xml:space="preserve">Pokud se u Vás vyskytne kterýkoli z nežádoucích účinků, sdělte to svému lékaři nebo lékárníkovi. Stejně postupujte v případě jakýchkoli nežádoucích účinků, které nejsou uvedeny v této příbalové informaci. Nežádoucí účinky můžete hlásit </w:t>
      </w:r>
      <w:r w:rsidRPr="002320E0">
        <w:rPr>
          <w:rFonts w:ascii="Times New Roman" w:eastAsia="Times New Roman" w:hAnsi="Times New Roman" w:cs="Times New Roman"/>
          <w:sz w:val="18"/>
          <w:szCs w:val="18"/>
          <w14:ligatures w14:val="none"/>
        </w:rPr>
        <w:t xml:space="preserve">také přímo </w:t>
      </w:r>
      <w:r w:rsidRPr="002320E0">
        <w:rPr>
          <w:rFonts w:ascii="Times New Roman" w:eastAsia="Times New Roman" w:hAnsi="Times New Roman" w:cs="Times New Roman"/>
          <w:noProof/>
          <w:sz w:val="18"/>
          <w:szCs w:val="18"/>
          <w14:ligatures w14:val="none"/>
        </w:rPr>
        <w:t>na adresu:</w:t>
      </w:r>
    </w:p>
    <w:p w14:paraId="72407A95" w14:textId="77777777" w:rsidR="002320E0" w:rsidRPr="002320E0" w:rsidRDefault="002320E0" w:rsidP="002320E0">
      <w:pPr>
        <w:keepNext/>
        <w:keepLines/>
        <w:widowControl w:val="0"/>
        <w:spacing w:after="0" w:line="240" w:lineRule="auto"/>
        <w:jc w:val="both"/>
        <w:rPr>
          <w:rFonts w:ascii="Times New Roman" w:eastAsia="Times New Roman" w:hAnsi="Times New Roman" w:cs="Times New Roman"/>
          <w:sz w:val="18"/>
          <w:szCs w:val="18"/>
          <w14:ligatures w14:val="none"/>
        </w:rPr>
      </w:pPr>
    </w:p>
    <w:p w14:paraId="2EABA210" w14:textId="77777777" w:rsidR="002320E0" w:rsidRPr="002320E0" w:rsidRDefault="002320E0" w:rsidP="002320E0">
      <w:pPr>
        <w:keepNext/>
        <w:keepLines/>
        <w:widowControl w:val="0"/>
        <w:spacing w:after="0" w:line="240" w:lineRule="auto"/>
        <w:jc w:val="both"/>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Státní ústav pro kontrolu léčiv</w:t>
      </w:r>
    </w:p>
    <w:p w14:paraId="09750413" w14:textId="77777777" w:rsidR="002320E0" w:rsidRPr="002320E0" w:rsidRDefault="002320E0" w:rsidP="002320E0">
      <w:pPr>
        <w:keepNext/>
        <w:keepLines/>
        <w:widowControl w:val="0"/>
        <w:spacing w:after="0" w:line="240" w:lineRule="auto"/>
        <w:jc w:val="both"/>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Šrobárova 48</w:t>
      </w:r>
    </w:p>
    <w:p w14:paraId="692A1295" w14:textId="77777777" w:rsidR="002320E0" w:rsidRPr="002320E0" w:rsidRDefault="002320E0" w:rsidP="002320E0">
      <w:pPr>
        <w:keepNext/>
        <w:keepLines/>
        <w:widowControl w:val="0"/>
        <w:spacing w:after="0" w:line="240" w:lineRule="auto"/>
        <w:jc w:val="both"/>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100 41 Praha 10</w:t>
      </w:r>
    </w:p>
    <w:p w14:paraId="0E17DB7D" w14:textId="2E2C5293" w:rsidR="002320E0" w:rsidRPr="002320E0" w:rsidRDefault="002320E0" w:rsidP="002320E0">
      <w:pPr>
        <w:widowControl w:val="0"/>
        <w:spacing w:after="0" w:line="240" w:lineRule="auto"/>
        <w:jc w:val="both"/>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Webové stránky: www.sukl.cz/nahlasit-nezadouci-ucinek</w:t>
      </w:r>
    </w:p>
    <w:p w14:paraId="444BF977" w14:textId="77777777" w:rsidR="002320E0" w:rsidRPr="002320E0" w:rsidRDefault="002320E0" w:rsidP="002320E0">
      <w:pPr>
        <w:widowControl w:val="0"/>
        <w:spacing w:after="0" w:line="240" w:lineRule="auto"/>
        <w:jc w:val="both"/>
        <w:rPr>
          <w:rFonts w:ascii="Times New Roman" w:eastAsia="Times New Roman" w:hAnsi="Times New Roman" w:cs="Times New Roman"/>
          <w:sz w:val="18"/>
          <w:szCs w:val="18"/>
          <w14:ligatures w14:val="none"/>
        </w:rPr>
      </w:pPr>
    </w:p>
    <w:p w14:paraId="31AE26C5" w14:textId="77777777" w:rsidR="002320E0" w:rsidRPr="002320E0" w:rsidRDefault="002320E0" w:rsidP="002320E0">
      <w:pPr>
        <w:widowControl w:val="0"/>
        <w:autoSpaceDE w:val="0"/>
        <w:autoSpaceDN w:val="0"/>
        <w:adjustRightInd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noProof/>
          <w:sz w:val="18"/>
          <w:szCs w:val="18"/>
          <w14:ligatures w14:val="none"/>
        </w:rPr>
        <w:t>Nahlášením nežádoucích účinků můžete přispět k získání více informací o bezpečnosti tohoto přípravku.</w:t>
      </w:r>
    </w:p>
    <w:p w14:paraId="0112138F" w14:textId="77777777" w:rsidR="002320E0" w:rsidRPr="002320E0" w:rsidRDefault="002320E0" w:rsidP="002320E0">
      <w:pPr>
        <w:widowControl w:val="0"/>
        <w:spacing w:after="0" w:line="240" w:lineRule="auto"/>
        <w:outlineLvl w:val="3"/>
        <w:rPr>
          <w:rFonts w:ascii="Times New Roman" w:eastAsia="Times New Roman" w:hAnsi="Times New Roman" w:cs="Times New Roman"/>
          <w:sz w:val="18"/>
          <w:szCs w:val="18"/>
          <w14:ligatures w14:val="none"/>
        </w:rPr>
      </w:pPr>
    </w:p>
    <w:p w14:paraId="2D850D12"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64534740" w14:textId="77777777" w:rsidR="002320E0" w:rsidRPr="002320E0" w:rsidRDefault="002320E0" w:rsidP="002320E0">
      <w:pPr>
        <w:keepNext/>
        <w:keepLines/>
        <w:widowControl w:val="0"/>
        <w:spacing w:after="0" w:line="240" w:lineRule="auto"/>
        <w:ind w:left="567" w:hanging="567"/>
        <w:rPr>
          <w:rFonts w:ascii="Times New Roman" w:eastAsia="Times New Roman" w:hAnsi="Times New Roman" w:cs="Times New Roman"/>
          <w:b/>
          <w:sz w:val="18"/>
          <w:szCs w:val="18"/>
          <w14:ligatures w14:val="none"/>
        </w:rPr>
      </w:pPr>
      <w:r w:rsidRPr="002320E0">
        <w:rPr>
          <w:rFonts w:ascii="Times New Roman" w:eastAsia="Times New Roman" w:hAnsi="Times New Roman" w:cs="Times New Roman"/>
          <w:b/>
          <w:sz w:val="18"/>
          <w:szCs w:val="18"/>
          <w14:ligatures w14:val="none"/>
        </w:rPr>
        <w:t>5.</w:t>
      </w:r>
      <w:r w:rsidRPr="002320E0">
        <w:rPr>
          <w:rFonts w:ascii="Times New Roman" w:eastAsia="Times New Roman" w:hAnsi="Times New Roman" w:cs="Times New Roman"/>
          <w:b/>
          <w:sz w:val="18"/>
          <w:szCs w:val="18"/>
          <w14:ligatures w14:val="none"/>
        </w:rPr>
        <w:tab/>
        <w:t xml:space="preserve">Jak přípravek </w:t>
      </w:r>
      <w:proofErr w:type="spellStart"/>
      <w:r w:rsidRPr="002320E0">
        <w:rPr>
          <w:rFonts w:ascii="Times New Roman" w:eastAsia="Times New Roman" w:hAnsi="Times New Roman" w:cs="Times New Roman"/>
          <w:b/>
          <w:sz w:val="18"/>
          <w:szCs w:val="18"/>
          <w14:ligatures w14:val="none"/>
        </w:rPr>
        <w:t>Vaqta</w:t>
      </w:r>
      <w:proofErr w:type="spellEnd"/>
      <w:r w:rsidRPr="002320E0">
        <w:rPr>
          <w:rFonts w:ascii="Times New Roman" w:eastAsia="Times New Roman" w:hAnsi="Times New Roman" w:cs="Times New Roman"/>
          <w:b/>
          <w:sz w:val="18"/>
          <w:szCs w:val="18"/>
          <w14:ligatures w14:val="none"/>
        </w:rPr>
        <w:t xml:space="preserve"> </w:t>
      </w:r>
      <w:proofErr w:type="spellStart"/>
      <w:r w:rsidRPr="002320E0">
        <w:rPr>
          <w:rFonts w:ascii="Times New Roman" w:eastAsia="Times New Roman" w:hAnsi="Times New Roman" w:cs="Times New Roman"/>
          <w:b/>
          <w:sz w:val="18"/>
          <w:szCs w:val="18"/>
          <w14:ligatures w14:val="none"/>
        </w:rPr>
        <w:t>Pediatric</w:t>
      </w:r>
      <w:proofErr w:type="spellEnd"/>
      <w:r w:rsidRPr="002320E0">
        <w:rPr>
          <w:rFonts w:ascii="Times New Roman" w:eastAsia="Times New Roman" w:hAnsi="Times New Roman" w:cs="Times New Roman"/>
          <w:b/>
          <w:sz w:val="18"/>
          <w:szCs w:val="18"/>
          <w14:ligatures w14:val="none"/>
        </w:rPr>
        <w:t>/Adolescent uchovávat</w:t>
      </w:r>
    </w:p>
    <w:p w14:paraId="69E1542D"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p>
    <w:p w14:paraId="0467367E" w14:textId="77777777" w:rsidR="002320E0" w:rsidRPr="002320E0" w:rsidRDefault="002320E0" w:rsidP="002320E0">
      <w:pPr>
        <w:widowControl w:val="0"/>
        <w:spacing w:after="0" w:line="240" w:lineRule="auto"/>
        <w:rPr>
          <w:rFonts w:ascii="Times New Roman" w:eastAsia="Times New Roman" w:hAnsi="Times New Roman" w:cs="Times New Roman"/>
          <w:bCs/>
          <w:sz w:val="18"/>
          <w:szCs w:val="18"/>
          <w:u w:val="single"/>
          <w14:ligatures w14:val="none"/>
        </w:rPr>
      </w:pPr>
      <w:r w:rsidRPr="002320E0">
        <w:rPr>
          <w:rFonts w:ascii="Times New Roman" w:eastAsia="Times New Roman" w:hAnsi="Times New Roman" w:cs="Times New Roman"/>
          <w:bCs/>
          <w:sz w:val="18"/>
          <w:szCs w:val="18"/>
          <w14:ligatures w14:val="none"/>
        </w:rPr>
        <w:t>Uchovávejte tento přípravek mimo dohled a dosah dětí.</w:t>
      </w:r>
    </w:p>
    <w:p w14:paraId="06A221B8"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14F44E30"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Nepoužívejte tento přípravek po uplynutí doby použitelnosti uvedené na štítku za „EXP“. Doba použitelnosti se vztahuje k poslednímu dni uvedeného měsíce.</w:t>
      </w:r>
    </w:p>
    <w:p w14:paraId="7B683FB5"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6960EC67"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Uchovávejte v chladničce (2 °</w:t>
      </w:r>
      <w:proofErr w:type="gramStart"/>
      <w:r w:rsidRPr="002320E0">
        <w:rPr>
          <w:rFonts w:ascii="Times New Roman" w:eastAsia="Times New Roman" w:hAnsi="Times New Roman" w:cs="Times New Roman"/>
          <w:sz w:val="18"/>
          <w:szCs w:val="18"/>
          <w14:ligatures w14:val="none"/>
        </w:rPr>
        <w:t>C – 8</w:t>
      </w:r>
      <w:proofErr w:type="gramEnd"/>
      <w:r w:rsidRPr="002320E0">
        <w:rPr>
          <w:rFonts w:ascii="Times New Roman" w:eastAsia="Times New Roman" w:hAnsi="Times New Roman" w:cs="Times New Roman"/>
          <w:sz w:val="18"/>
          <w:szCs w:val="18"/>
          <w14:ligatures w14:val="none"/>
        </w:rPr>
        <w:t xml:space="preserve"> °C). Chraňte před mrazem. </w:t>
      </w:r>
    </w:p>
    <w:p w14:paraId="465A09C1" w14:textId="77777777" w:rsidR="002320E0" w:rsidRPr="002320E0" w:rsidRDefault="002320E0" w:rsidP="002320E0">
      <w:pPr>
        <w:spacing w:after="0" w:line="240" w:lineRule="auto"/>
        <w:rPr>
          <w:rFonts w:ascii="Times New Roman" w:eastAsia="Times New Roman" w:hAnsi="Times New Roman" w:cs="Times New Roman"/>
          <w:sz w:val="18"/>
          <w:szCs w:val="18"/>
          <w14:ligatures w14:val="none"/>
        </w:rPr>
      </w:pPr>
    </w:p>
    <w:p w14:paraId="0734FEE5" w14:textId="77777777" w:rsidR="002320E0" w:rsidRPr="002320E0" w:rsidRDefault="002320E0" w:rsidP="002320E0">
      <w:pPr>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Nepoužívejte přípravek </w:t>
      </w:r>
      <w:proofErr w:type="spellStart"/>
      <w:r w:rsidRPr="002320E0">
        <w:rPr>
          <w:rFonts w:ascii="Times New Roman" w:eastAsia="Times New Roman" w:hAnsi="Times New Roman" w:cs="Times New Roman"/>
          <w:sz w:val="18"/>
          <w:szCs w:val="18"/>
          <w14:ligatures w14:val="none"/>
        </w:rPr>
        <w:t>Vaqta</w:t>
      </w:r>
      <w:proofErr w:type="spellEnd"/>
      <w:r w:rsidRPr="002320E0">
        <w:rPr>
          <w:rFonts w:ascii="Times New Roman" w:eastAsia="Times New Roman" w:hAnsi="Times New Roman" w:cs="Times New Roman"/>
          <w:sz w:val="18"/>
          <w:szCs w:val="18"/>
          <w14:ligatures w14:val="none"/>
        </w:rPr>
        <w:t xml:space="preserve"> </w:t>
      </w:r>
      <w:proofErr w:type="spellStart"/>
      <w:r w:rsidRPr="002320E0">
        <w:rPr>
          <w:rFonts w:ascii="Times New Roman" w:eastAsia="Times New Roman" w:hAnsi="Times New Roman" w:cs="Times New Roman"/>
          <w:sz w:val="18"/>
          <w:szCs w:val="18"/>
          <w14:ligatures w14:val="none"/>
        </w:rPr>
        <w:t>Pediatric</w:t>
      </w:r>
      <w:proofErr w:type="spellEnd"/>
      <w:r w:rsidRPr="002320E0">
        <w:rPr>
          <w:rFonts w:ascii="Times New Roman" w:eastAsia="Times New Roman" w:hAnsi="Times New Roman" w:cs="Times New Roman"/>
          <w:sz w:val="18"/>
          <w:szCs w:val="18"/>
          <w14:ligatures w14:val="none"/>
        </w:rPr>
        <w:t>/Adolescent, pokud má neobvyklý vzhled (viz bod 6) nebo pokud obsahuje pevné částice.</w:t>
      </w:r>
    </w:p>
    <w:p w14:paraId="17233923" w14:textId="77777777" w:rsidR="002320E0" w:rsidRPr="002320E0" w:rsidRDefault="002320E0" w:rsidP="002320E0">
      <w:pPr>
        <w:spacing w:after="0" w:line="240" w:lineRule="auto"/>
        <w:rPr>
          <w:rFonts w:ascii="Times New Roman" w:eastAsia="Times New Roman" w:hAnsi="Times New Roman" w:cs="Times New Roman"/>
          <w:sz w:val="18"/>
          <w:szCs w:val="18"/>
          <w14:ligatures w14:val="none"/>
        </w:rPr>
      </w:pPr>
    </w:p>
    <w:p w14:paraId="3D53B20E" w14:textId="77777777" w:rsidR="002320E0" w:rsidRPr="002320E0" w:rsidRDefault="002320E0" w:rsidP="002320E0">
      <w:pPr>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Nevyhazujte žádné léčivé přípravky do odpadních vod nebo domácího odpadu. Zeptejte se svého lékárníka, jak naložit s přípravky, které již nepoužíváte. Tato opatření pomáhají chránit životní prostředí.</w:t>
      </w:r>
    </w:p>
    <w:p w14:paraId="4EE2A1B8"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6762F97E"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5B0A34F5" w14:textId="77777777" w:rsidR="002320E0" w:rsidRPr="002320E0" w:rsidRDefault="002320E0" w:rsidP="002320E0">
      <w:pPr>
        <w:keepNext/>
        <w:widowControl w:val="0"/>
        <w:spacing w:after="0" w:line="240" w:lineRule="auto"/>
        <w:ind w:left="567" w:hanging="567"/>
        <w:rPr>
          <w:rFonts w:ascii="Times New Roman" w:eastAsia="Times New Roman" w:hAnsi="Times New Roman" w:cs="Times New Roman"/>
          <w:b/>
          <w:sz w:val="18"/>
          <w:szCs w:val="18"/>
          <w14:ligatures w14:val="none"/>
        </w:rPr>
      </w:pPr>
      <w:r w:rsidRPr="002320E0">
        <w:rPr>
          <w:rFonts w:ascii="Times New Roman" w:eastAsia="Times New Roman" w:hAnsi="Times New Roman" w:cs="Times New Roman"/>
          <w:b/>
          <w:sz w:val="18"/>
          <w:szCs w:val="18"/>
          <w14:ligatures w14:val="none"/>
        </w:rPr>
        <w:t>6.</w:t>
      </w:r>
      <w:r w:rsidRPr="002320E0">
        <w:rPr>
          <w:rFonts w:ascii="Times New Roman" w:eastAsia="Times New Roman" w:hAnsi="Times New Roman" w:cs="Times New Roman"/>
          <w:b/>
          <w:sz w:val="18"/>
          <w:szCs w:val="18"/>
          <w14:ligatures w14:val="none"/>
        </w:rPr>
        <w:tab/>
        <w:t>Obsah balení a další informace</w:t>
      </w:r>
    </w:p>
    <w:p w14:paraId="319E8135" w14:textId="77777777" w:rsidR="002320E0" w:rsidRPr="002320E0" w:rsidRDefault="002320E0" w:rsidP="002320E0">
      <w:pPr>
        <w:keepNext/>
        <w:widowControl w:val="0"/>
        <w:spacing w:after="0" w:line="240" w:lineRule="auto"/>
        <w:ind w:right="-2"/>
        <w:rPr>
          <w:rFonts w:ascii="Times New Roman" w:eastAsia="Times New Roman" w:hAnsi="Times New Roman" w:cs="Times New Roman"/>
          <w:noProof/>
          <w:sz w:val="18"/>
          <w:szCs w:val="18"/>
          <w14:ligatures w14:val="none"/>
        </w:rPr>
      </w:pPr>
    </w:p>
    <w:p w14:paraId="28CF9ECE" w14:textId="77777777" w:rsidR="002320E0" w:rsidRPr="002320E0" w:rsidRDefault="002320E0" w:rsidP="002320E0">
      <w:pPr>
        <w:keepNext/>
        <w:keepLines/>
        <w:widowControl w:val="0"/>
        <w:spacing w:after="0" w:line="240" w:lineRule="auto"/>
        <w:ind w:right="-2"/>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Co přípravek Vaqta Pediatric/Adolescent obsahuje</w:t>
      </w:r>
    </w:p>
    <w:p w14:paraId="400C026D"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p>
    <w:p w14:paraId="27C5F547"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Jedna dávka (0,5 ml) obsahuje:</w:t>
      </w:r>
    </w:p>
    <w:p w14:paraId="705F6AEC"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Virus hepatitis A </w:t>
      </w:r>
      <w:proofErr w:type="spellStart"/>
      <w:r w:rsidRPr="002320E0">
        <w:rPr>
          <w:rFonts w:ascii="Times New Roman" w:eastAsia="Times New Roman" w:hAnsi="Times New Roman" w:cs="Times New Roman"/>
          <w:sz w:val="18"/>
          <w:szCs w:val="18"/>
          <w14:ligatures w14:val="none"/>
        </w:rPr>
        <w:t>inactivatum</w:t>
      </w:r>
      <w:proofErr w:type="spellEnd"/>
      <w:r w:rsidRPr="002320E0">
        <w:rPr>
          <w:rFonts w:ascii="Times New Roman" w:eastAsia="Times New Roman" w:hAnsi="Times New Roman" w:cs="Times New Roman"/>
          <w:sz w:val="18"/>
          <w:szCs w:val="18"/>
          <w14:ligatures w14:val="none"/>
        </w:rPr>
        <w:t xml:space="preserve"> (kmen CR </w:t>
      </w:r>
      <w:proofErr w:type="gramStart"/>
      <w:r w:rsidRPr="002320E0">
        <w:rPr>
          <w:rFonts w:ascii="Times New Roman" w:eastAsia="Times New Roman" w:hAnsi="Times New Roman" w:cs="Times New Roman"/>
          <w:sz w:val="18"/>
          <w:szCs w:val="18"/>
          <w14:ligatures w14:val="none"/>
        </w:rPr>
        <w:t>326F</w:t>
      </w:r>
      <w:proofErr w:type="gramEnd"/>
      <w:r w:rsidRPr="002320E0">
        <w:rPr>
          <w:rFonts w:ascii="Times New Roman" w:eastAsia="Times New Roman" w:hAnsi="Times New Roman" w:cs="Times New Roman"/>
          <w:sz w:val="18"/>
          <w:szCs w:val="18"/>
          <w14:ligatures w14:val="none"/>
        </w:rPr>
        <w:t>)</w:t>
      </w:r>
      <w:r w:rsidRPr="002320E0">
        <w:rPr>
          <w:rFonts w:ascii="Times New Roman" w:eastAsia="Times New Roman" w:hAnsi="Times New Roman" w:cs="Times New Roman"/>
          <w:sz w:val="18"/>
          <w:szCs w:val="18"/>
          <w:vertAlign w:val="superscript"/>
          <w14:ligatures w14:val="none"/>
        </w:rPr>
        <w:t>1, 2</w:t>
      </w:r>
      <w:r w:rsidRPr="002320E0">
        <w:rPr>
          <w:rFonts w:ascii="Times New Roman" w:eastAsia="Times New Roman" w:hAnsi="Times New Roman" w:cs="Times New Roman"/>
          <w:sz w:val="18"/>
          <w:szCs w:val="18"/>
          <w:vertAlign w:val="superscript"/>
          <w14:ligatures w14:val="none"/>
        </w:rPr>
        <w:tab/>
      </w:r>
      <w:r w:rsidRPr="002320E0">
        <w:rPr>
          <w:rFonts w:ascii="Times New Roman" w:eastAsia="Times New Roman" w:hAnsi="Times New Roman" w:cs="Times New Roman"/>
          <w:sz w:val="18"/>
          <w:szCs w:val="18"/>
          <w14:ligatures w14:val="none"/>
        </w:rPr>
        <w:t>25 U</w:t>
      </w:r>
    </w:p>
    <w:p w14:paraId="1795E08A"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6BD3CAE6"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vertAlign w:val="superscript"/>
          <w14:ligatures w14:val="none"/>
        </w:rPr>
        <w:t>1</w:t>
      </w:r>
      <w:r w:rsidRPr="002320E0">
        <w:rPr>
          <w:rFonts w:ascii="Times New Roman" w:eastAsia="Times New Roman" w:hAnsi="Times New Roman" w:cs="Times New Roman"/>
          <w:sz w:val="18"/>
          <w:szCs w:val="18"/>
          <w14:ligatures w14:val="none"/>
        </w:rPr>
        <w:t xml:space="preserve"> Vykultivováno na buněčné kultuře lidských diploidních buněk MRC</w:t>
      </w:r>
      <w:r w:rsidRPr="002320E0">
        <w:rPr>
          <w:rFonts w:ascii="Times New Roman" w:eastAsia="Times New Roman" w:hAnsi="Times New Roman" w:cs="Times New Roman"/>
          <w:sz w:val="18"/>
          <w:szCs w:val="18"/>
          <w14:ligatures w14:val="none"/>
        </w:rPr>
        <w:sym w:font="Symbol" w:char="F02D"/>
      </w:r>
      <w:r w:rsidRPr="002320E0">
        <w:rPr>
          <w:rFonts w:ascii="Times New Roman" w:eastAsia="Times New Roman" w:hAnsi="Times New Roman" w:cs="Times New Roman"/>
          <w:sz w:val="18"/>
          <w:szCs w:val="18"/>
          <w14:ligatures w14:val="none"/>
        </w:rPr>
        <w:t>5.</w:t>
      </w:r>
    </w:p>
    <w:p w14:paraId="371BBF4F" w14:textId="77777777" w:rsidR="002320E0" w:rsidRPr="002320E0" w:rsidRDefault="002320E0" w:rsidP="002320E0">
      <w:pPr>
        <w:spacing w:after="0" w:line="240" w:lineRule="auto"/>
        <w:ind w:right="-2"/>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sz w:val="18"/>
          <w:szCs w:val="18"/>
          <w:vertAlign w:val="superscript"/>
          <w14:ligatures w14:val="none"/>
        </w:rPr>
        <w:t>2</w:t>
      </w:r>
      <w:r w:rsidRPr="002320E0">
        <w:rPr>
          <w:rFonts w:ascii="Times New Roman" w:eastAsia="Times New Roman" w:hAnsi="Times New Roman" w:cs="Times New Roman"/>
          <w:sz w:val="18"/>
          <w:szCs w:val="18"/>
          <w14:ligatures w14:val="none"/>
        </w:rPr>
        <w:t xml:space="preserve"> Adsorbováno na: amorfní síran-</w:t>
      </w:r>
      <w:proofErr w:type="spellStart"/>
      <w:r w:rsidRPr="002320E0">
        <w:rPr>
          <w:rFonts w:ascii="Times New Roman" w:eastAsia="Times New Roman" w:hAnsi="Times New Roman" w:cs="Times New Roman"/>
          <w:sz w:val="18"/>
          <w:szCs w:val="18"/>
          <w14:ligatures w14:val="none"/>
        </w:rPr>
        <w:t>hydroxyfosforečnan</w:t>
      </w:r>
      <w:proofErr w:type="spellEnd"/>
      <w:r w:rsidRPr="002320E0">
        <w:rPr>
          <w:rFonts w:ascii="Times New Roman" w:eastAsia="Times New Roman" w:hAnsi="Times New Roman" w:cs="Times New Roman"/>
          <w:sz w:val="18"/>
          <w:szCs w:val="18"/>
          <w14:ligatures w14:val="none"/>
        </w:rPr>
        <w:t xml:space="preserve"> hlinitý (0,225 mg Al</w:t>
      </w:r>
      <w:r w:rsidRPr="002320E0">
        <w:rPr>
          <w:rFonts w:ascii="Times New Roman" w:eastAsia="Times New Roman" w:hAnsi="Times New Roman" w:cs="Times New Roman"/>
          <w:sz w:val="18"/>
          <w:szCs w:val="18"/>
          <w:vertAlign w:val="superscript"/>
          <w14:ligatures w14:val="none"/>
        </w:rPr>
        <w:t>3+</w:t>
      </w:r>
      <w:r w:rsidRPr="002320E0">
        <w:rPr>
          <w:rFonts w:ascii="Times New Roman" w:eastAsia="Times New Roman" w:hAnsi="Times New Roman" w:cs="Times New Roman"/>
          <w:sz w:val="18"/>
          <w:szCs w:val="18"/>
          <w14:ligatures w14:val="none"/>
        </w:rPr>
        <w:t>)</w:t>
      </w:r>
    </w:p>
    <w:p w14:paraId="3E8706F3" w14:textId="77777777" w:rsidR="002320E0" w:rsidRPr="002320E0" w:rsidRDefault="002320E0" w:rsidP="002320E0">
      <w:pPr>
        <w:spacing w:after="0" w:line="240" w:lineRule="auto"/>
        <w:ind w:right="-2"/>
        <w:rPr>
          <w:rFonts w:ascii="Times New Roman" w:eastAsia="Times New Roman" w:hAnsi="Times New Roman" w:cs="Times New Roman"/>
          <w:noProof/>
          <w:sz w:val="18"/>
          <w:szCs w:val="18"/>
          <w14:ligatures w14:val="none"/>
        </w:rPr>
      </w:pPr>
    </w:p>
    <w:p w14:paraId="5D227C88" w14:textId="77777777" w:rsidR="002320E0" w:rsidRPr="002320E0" w:rsidRDefault="002320E0" w:rsidP="002320E0">
      <w:pPr>
        <w:spacing w:after="0" w:line="240" w:lineRule="auto"/>
        <w:ind w:right="-2"/>
        <w:rPr>
          <w:rFonts w:ascii="Times New Roman" w:eastAsia="Times New Roman" w:hAnsi="Times New Roman" w:cs="Times New Roman"/>
          <w:noProof/>
          <w:sz w:val="18"/>
          <w:szCs w:val="18"/>
          <w14:ligatures w14:val="none"/>
        </w:rPr>
      </w:pPr>
      <w:r w:rsidRPr="002320E0">
        <w:rPr>
          <w:rFonts w:ascii="Times New Roman" w:eastAsia="Times New Roman" w:hAnsi="Times New Roman" w:cs="Times New Roman"/>
          <w:noProof/>
          <w:sz w:val="18"/>
          <w:szCs w:val="18"/>
          <w14:ligatures w14:val="none"/>
        </w:rPr>
        <w:t xml:space="preserve">Pomocnými látkami jsou: </w:t>
      </w:r>
    </w:p>
    <w:p w14:paraId="0F104899" w14:textId="77777777" w:rsidR="002320E0" w:rsidRPr="002320E0" w:rsidRDefault="002320E0" w:rsidP="002320E0">
      <w:pPr>
        <w:spacing w:after="0" w:line="240" w:lineRule="auto"/>
        <w:ind w:right="-2"/>
        <w:rPr>
          <w:rFonts w:ascii="Times New Roman" w:eastAsia="Times New Roman" w:hAnsi="Times New Roman" w:cs="Times New Roman"/>
          <w:noProof/>
          <w:sz w:val="18"/>
          <w:szCs w:val="18"/>
          <w14:ligatures w14:val="none"/>
        </w:rPr>
      </w:pPr>
      <w:proofErr w:type="spellStart"/>
      <w:r w:rsidRPr="002320E0">
        <w:rPr>
          <w:rFonts w:ascii="Times New Roman" w:eastAsia="Times New Roman" w:hAnsi="Times New Roman" w:cs="Times New Roman"/>
          <w:sz w:val="18"/>
          <w:szCs w:val="18"/>
          <w14:ligatures w14:val="none"/>
        </w:rPr>
        <w:t>Dekahydrát</w:t>
      </w:r>
      <w:proofErr w:type="spellEnd"/>
      <w:r w:rsidRPr="002320E0">
        <w:rPr>
          <w:rFonts w:ascii="Times New Roman" w:eastAsia="Times New Roman" w:hAnsi="Times New Roman" w:cs="Times New Roman"/>
          <w:sz w:val="18"/>
          <w:szCs w:val="18"/>
          <w14:ligatures w14:val="none"/>
        </w:rPr>
        <w:t xml:space="preserve"> tetraboritanu sodného, chlorid sodný, amorfní síran-</w:t>
      </w:r>
      <w:proofErr w:type="spellStart"/>
      <w:r w:rsidRPr="002320E0">
        <w:rPr>
          <w:rFonts w:ascii="Times New Roman" w:eastAsia="Times New Roman" w:hAnsi="Times New Roman" w:cs="Times New Roman"/>
          <w:sz w:val="18"/>
          <w:szCs w:val="18"/>
          <w14:ligatures w14:val="none"/>
        </w:rPr>
        <w:t>hydroxyfosforečnan</w:t>
      </w:r>
      <w:proofErr w:type="spellEnd"/>
      <w:r w:rsidRPr="002320E0">
        <w:rPr>
          <w:rFonts w:ascii="Times New Roman" w:eastAsia="Times New Roman" w:hAnsi="Times New Roman" w:cs="Times New Roman"/>
          <w:sz w:val="18"/>
          <w:szCs w:val="18"/>
          <w14:ligatures w14:val="none"/>
        </w:rPr>
        <w:t xml:space="preserve"> hlinitý (adjuvans) a voda pro injekci.</w:t>
      </w:r>
    </w:p>
    <w:p w14:paraId="7EBDCB3A"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p>
    <w:p w14:paraId="522A725F" w14:textId="77777777" w:rsidR="002320E0" w:rsidRPr="002320E0" w:rsidRDefault="002320E0" w:rsidP="002320E0">
      <w:pPr>
        <w:keepNext/>
        <w:keepLines/>
        <w:widowControl w:val="0"/>
        <w:spacing w:after="0" w:line="240" w:lineRule="auto"/>
        <w:ind w:right="-2"/>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Jak přípravek Vaqta Pediatric/Adolescent vypadá a co obsahuje toto balení</w:t>
      </w:r>
    </w:p>
    <w:p w14:paraId="41727B8E"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p>
    <w:p w14:paraId="5FFAD6A4"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je k dispozici jako:</w:t>
      </w:r>
    </w:p>
    <w:p w14:paraId="35094C89" w14:textId="77777777" w:rsidR="002320E0" w:rsidRPr="002320E0" w:rsidRDefault="002320E0" w:rsidP="002320E0">
      <w:pPr>
        <w:widowControl w:val="0"/>
        <w:numPr>
          <w:ilvl w:val="0"/>
          <w:numId w:val="6"/>
        </w:numPr>
        <w:autoSpaceDE w:val="0"/>
        <w:autoSpaceDN w:val="0"/>
        <w:adjustRightInd w:val="0"/>
        <w:spacing w:after="0" w:line="240" w:lineRule="auto"/>
        <w:ind w:left="567" w:hanging="567"/>
        <w:jc w:val="both"/>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 xml:space="preserve">0,5ml injekční suspenze v předplněné injekční stříkačce (sklo třídy I) s pístem se zarážkou (směs </w:t>
      </w:r>
      <w:proofErr w:type="spellStart"/>
      <w:r w:rsidRPr="002320E0">
        <w:rPr>
          <w:rFonts w:ascii="Times New Roman" w:eastAsia="Times New Roman" w:hAnsi="Times New Roman" w:cs="Times New Roman"/>
          <w:sz w:val="18"/>
          <w:szCs w:val="18"/>
          <w:lang w:eastAsia="cs-CZ"/>
          <w14:ligatures w14:val="none"/>
        </w:rPr>
        <w:t>chlorbutylu</w:t>
      </w:r>
      <w:proofErr w:type="spellEnd"/>
      <w:r w:rsidRPr="002320E0">
        <w:rPr>
          <w:rFonts w:ascii="Times New Roman" w:eastAsia="Times New Roman" w:hAnsi="Times New Roman" w:cs="Times New Roman"/>
          <w:sz w:val="18"/>
          <w:szCs w:val="18"/>
          <w:lang w:eastAsia="cs-CZ"/>
          <w14:ligatures w14:val="none"/>
        </w:rPr>
        <w:t xml:space="preserve"> a </w:t>
      </w:r>
      <w:proofErr w:type="gramStart"/>
      <w:r w:rsidRPr="002320E0">
        <w:rPr>
          <w:rFonts w:ascii="Times New Roman" w:eastAsia="Times New Roman" w:hAnsi="Times New Roman" w:cs="Times New Roman"/>
          <w:sz w:val="18"/>
          <w:szCs w:val="18"/>
          <w:lang w:eastAsia="cs-CZ"/>
          <w14:ligatures w14:val="none"/>
        </w:rPr>
        <w:t>isoprenu</w:t>
      </w:r>
      <w:proofErr w:type="gramEnd"/>
      <w:r w:rsidRPr="002320E0">
        <w:rPr>
          <w:rFonts w:ascii="Times New Roman" w:eastAsia="Times New Roman" w:hAnsi="Times New Roman" w:cs="Times New Roman"/>
          <w:sz w:val="18"/>
          <w:szCs w:val="18"/>
          <w:lang w:eastAsia="cs-CZ"/>
          <w14:ligatures w14:val="none"/>
        </w:rPr>
        <w:t xml:space="preserve"> nebo </w:t>
      </w:r>
      <w:proofErr w:type="spellStart"/>
      <w:r w:rsidRPr="002320E0">
        <w:rPr>
          <w:rFonts w:ascii="Times New Roman" w:eastAsia="Times New Roman" w:hAnsi="Times New Roman" w:cs="Times New Roman"/>
          <w:sz w:val="18"/>
          <w:szCs w:val="18"/>
          <w:lang w:eastAsia="cs-CZ"/>
          <w14:ligatures w14:val="none"/>
        </w:rPr>
        <w:t>brombutyl</w:t>
      </w:r>
      <w:proofErr w:type="spellEnd"/>
      <w:r w:rsidRPr="002320E0">
        <w:rPr>
          <w:rFonts w:ascii="Times New Roman" w:eastAsia="Times New Roman" w:hAnsi="Times New Roman" w:cs="Times New Roman"/>
          <w:sz w:val="18"/>
          <w:szCs w:val="18"/>
          <w:lang w:eastAsia="cs-CZ"/>
          <w14:ligatures w14:val="none"/>
        </w:rPr>
        <w:t xml:space="preserve">), bez jehly, s 1 nebo 2 oddělenými jehlami a s krytem hrotu (směs </w:t>
      </w:r>
      <w:proofErr w:type="spellStart"/>
      <w:r w:rsidRPr="002320E0">
        <w:rPr>
          <w:rFonts w:ascii="Times New Roman" w:eastAsia="Times New Roman" w:hAnsi="Times New Roman" w:cs="Times New Roman"/>
          <w:sz w:val="18"/>
          <w:szCs w:val="18"/>
          <w:lang w:eastAsia="cs-CZ"/>
          <w14:ligatures w14:val="none"/>
        </w:rPr>
        <w:t>chlorbutylu</w:t>
      </w:r>
      <w:proofErr w:type="spellEnd"/>
      <w:r w:rsidRPr="002320E0">
        <w:rPr>
          <w:rFonts w:ascii="Times New Roman" w:eastAsia="Times New Roman" w:hAnsi="Times New Roman" w:cs="Times New Roman"/>
          <w:sz w:val="18"/>
          <w:szCs w:val="18"/>
          <w:lang w:eastAsia="cs-CZ"/>
          <w14:ligatures w14:val="none"/>
        </w:rPr>
        <w:t xml:space="preserve"> a </w:t>
      </w:r>
      <w:proofErr w:type="gramStart"/>
      <w:r w:rsidRPr="002320E0">
        <w:rPr>
          <w:rFonts w:ascii="Times New Roman" w:eastAsia="Times New Roman" w:hAnsi="Times New Roman" w:cs="Times New Roman"/>
          <w:sz w:val="18"/>
          <w:szCs w:val="18"/>
          <w:lang w:eastAsia="cs-CZ"/>
          <w14:ligatures w14:val="none"/>
        </w:rPr>
        <w:t>isoprenu</w:t>
      </w:r>
      <w:proofErr w:type="gramEnd"/>
      <w:r w:rsidRPr="002320E0">
        <w:rPr>
          <w:rFonts w:ascii="Times New Roman" w:eastAsia="Times New Roman" w:hAnsi="Times New Roman" w:cs="Times New Roman"/>
          <w:sz w:val="18"/>
          <w:szCs w:val="18"/>
          <w:lang w:eastAsia="cs-CZ"/>
          <w14:ligatures w14:val="none"/>
        </w:rPr>
        <w:t xml:space="preserve"> nebo směs </w:t>
      </w:r>
      <w:proofErr w:type="spellStart"/>
      <w:r w:rsidRPr="002320E0">
        <w:rPr>
          <w:rFonts w:ascii="Times New Roman" w:eastAsia="Times New Roman" w:hAnsi="Times New Roman" w:cs="Times New Roman"/>
          <w:sz w:val="18"/>
          <w:szCs w:val="18"/>
          <w:lang w:eastAsia="cs-CZ"/>
          <w14:ligatures w14:val="none"/>
        </w:rPr>
        <w:t>brombutylu</w:t>
      </w:r>
      <w:proofErr w:type="spellEnd"/>
      <w:r w:rsidRPr="002320E0">
        <w:rPr>
          <w:rFonts w:ascii="Times New Roman" w:eastAsia="Times New Roman" w:hAnsi="Times New Roman" w:cs="Times New Roman"/>
          <w:sz w:val="18"/>
          <w:szCs w:val="18"/>
          <w:lang w:eastAsia="cs-CZ"/>
          <w14:ligatures w14:val="none"/>
        </w:rPr>
        <w:t xml:space="preserve"> a </w:t>
      </w:r>
      <w:proofErr w:type="gramStart"/>
      <w:r w:rsidRPr="002320E0">
        <w:rPr>
          <w:rFonts w:ascii="Times New Roman" w:eastAsia="Times New Roman" w:hAnsi="Times New Roman" w:cs="Times New Roman"/>
          <w:sz w:val="18"/>
          <w:szCs w:val="18"/>
          <w:lang w:eastAsia="cs-CZ"/>
          <w14:ligatures w14:val="none"/>
        </w:rPr>
        <w:t>isoprenu</w:t>
      </w:r>
      <w:proofErr w:type="gramEnd"/>
      <w:r w:rsidRPr="002320E0">
        <w:rPr>
          <w:rFonts w:ascii="Times New Roman" w:eastAsia="Times New Roman" w:hAnsi="Times New Roman" w:cs="Times New Roman"/>
          <w:sz w:val="18"/>
          <w:szCs w:val="18"/>
          <w:lang w:eastAsia="cs-CZ"/>
          <w14:ligatures w14:val="none"/>
        </w:rPr>
        <w:t>) nebo s 1 připojenou jehlou.</w:t>
      </w:r>
    </w:p>
    <w:p w14:paraId="40CA0062"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07D769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Velikost balení:</w:t>
      </w:r>
    </w:p>
    <w:p w14:paraId="083A265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0,5ml injekční suspenze v předplněné injekční stříkačce bez připojené jehly – balení po 1 kusu</w:t>
      </w:r>
    </w:p>
    <w:p w14:paraId="39DCA726"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0,5ml injekční suspenze v předplněné injekční stříkačce s jednou samostatnou jehlou – balení po</w:t>
      </w:r>
      <w:r w:rsidRPr="002320E0">
        <w:rPr>
          <w:rFonts w:ascii="Times New Roman" w:eastAsia="Times New Roman" w:hAnsi="Times New Roman" w:cs="Times New Roman"/>
          <w:sz w:val="18"/>
          <w:szCs w:val="18"/>
          <w14:ligatures w14:val="none"/>
        </w:rPr>
        <w:t> </w:t>
      </w:r>
      <w:r w:rsidRPr="002320E0">
        <w:rPr>
          <w:rFonts w:ascii="Times New Roman" w:eastAsia="Times New Roman" w:hAnsi="Times New Roman" w:cs="Times New Roman"/>
          <w:sz w:val="18"/>
          <w:szCs w:val="18"/>
          <w:lang w:eastAsia="cs-CZ"/>
          <w14:ligatures w14:val="none"/>
        </w:rPr>
        <w:t>1 kusu</w:t>
      </w:r>
    </w:p>
    <w:p w14:paraId="61053FB5"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0,5ml injekční suspenze v předplněné injekční stříkačce se dvěma samostatnými jehlami – balení po 1 kusu</w:t>
      </w:r>
    </w:p>
    <w:p w14:paraId="2169F9F8"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0,5ml injekční suspenze v předplněné injekční stříkačce s jednou připojenou jehlou – balení po 1 kusu</w:t>
      </w:r>
    </w:p>
    <w:p w14:paraId="79A7523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3091D5C"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Zarážka pístu a krytka hrotu obsahuje sušený přírodní latex.</w:t>
      </w:r>
    </w:p>
    <w:p w14:paraId="2FB81A21"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44CF374F"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r w:rsidRPr="002320E0">
        <w:rPr>
          <w:rFonts w:ascii="Times New Roman" w:eastAsia="Times New Roman" w:hAnsi="Times New Roman" w:cs="Times New Roman"/>
          <w:sz w:val="18"/>
          <w:szCs w:val="18"/>
          <w:lang w:eastAsia="cs-CZ"/>
          <w14:ligatures w14:val="none"/>
        </w:rPr>
        <w:t>Na trhu nemusí být všechny velikosti balení.</w:t>
      </w:r>
    </w:p>
    <w:p w14:paraId="5C89AAF0" w14:textId="77777777" w:rsidR="002320E0" w:rsidRPr="002320E0" w:rsidRDefault="002320E0" w:rsidP="002320E0">
      <w:pPr>
        <w:autoSpaceDE w:val="0"/>
        <w:autoSpaceDN w:val="0"/>
        <w:adjustRightInd w:val="0"/>
        <w:spacing w:after="0" w:line="240" w:lineRule="auto"/>
        <w:rPr>
          <w:rFonts w:ascii="Times New Roman" w:eastAsia="Times New Roman" w:hAnsi="Times New Roman" w:cs="Times New Roman"/>
          <w:sz w:val="18"/>
          <w:szCs w:val="18"/>
          <w:lang w:eastAsia="cs-CZ"/>
          <w14:ligatures w14:val="none"/>
        </w:rPr>
      </w:pPr>
    </w:p>
    <w:p w14:paraId="286F9FD7"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lang w:eastAsia="cs-CZ"/>
          <w14:ligatures w14:val="none"/>
        </w:rPr>
        <w:t xml:space="preserve">Po důkladném protřepání je přípravek </w:t>
      </w:r>
      <w:proofErr w:type="spellStart"/>
      <w:r w:rsidRPr="002320E0">
        <w:rPr>
          <w:rFonts w:ascii="Times New Roman" w:eastAsia="Times New Roman" w:hAnsi="Times New Roman" w:cs="Times New Roman"/>
          <w:sz w:val="18"/>
          <w:szCs w:val="18"/>
          <w:lang w:eastAsia="cs-CZ"/>
          <w14:ligatures w14:val="none"/>
        </w:rPr>
        <w:t>Vaqta</w:t>
      </w:r>
      <w:proofErr w:type="spellEnd"/>
      <w:r w:rsidRPr="002320E0">
        <w:rPr>
          <w:rFonts w:ascii="Times New Roman" w:eastAsia="Times New Roman" w:hAnsi="Times New Roman" w:cs="Times New Roman"/>
          <w:sz w:val="18"/>
          <w:szCs w:val="18"/>
          <w:lang w:eastAsia="cs-CZ"/>
          <w14:ligatures w14:val="none"/>
        </w:rPr>
        <w:t xml:space="preserve"> </w:t>
      </w:r>
      <w:proofErr w:type="spellStart"/>
      <w:r w:rsidRPr="002320E0">
        <w:rPr>
          <w:rFonts w:ascii="Times New Roman" w:eastAsia="Times New Roman" w:hAnsi="Times New Roman" w:cs="Times New Roman"/>
          <w:sz w:val="18"/>
          <w:szCs w:val="18"/>
          <w:lang w:eastAsia="cs-CZ"/>
          <w14:ligatures w14:val="none"/>
        </w:rPr>
        <w:t>Pediatric</w:t>
      </w:r>
      <w:proofErr w:type="spellEnd"/>
      <w:r w:rsidRPr="002320E0">
        <w:rPr>
          <w:rFonts w:ascii="Times New Roman" w:eastAsia="Times New Roman" w:hAnsi="Times New Roman" w:cs="Times New Roman"/>
          <w:sz w:val="18"/>
          <w:szCs w:val="18"/>
          <w:lang w:eastAsia="cs-CZ"/>
          <w14:ligatures w14:val="none"/>
        </w:rPr>
        <w:t>/Adolescent mírně neprůhledná bílá suspenze.</w:t>
      </w:r>
    </w:p>
    <w:p w14:paraId="5D53CF19" w14:textId="77777777" w:rsidR="002320E0" w:rsidRPr="002320E0" w:rsidRDefault="002320E0" w:rsidP="002320E0">
      <w:pPr>
        <w:widowControl w:val="0"/>
        <w:spacing w:after="0" w:line="240" w:lineRule="auto"/>
        <w:ind w:right="-2"/>
        <w:rPr>
          <w:rFonts w:ascii="Times New Roman" w:eastAsia="Times New Roman" w:hAnsi="Times New Roman" w:cs="Times New Roman"/>
          <w:noProof/>
          <w:sz w:val="18"/>
          <w:szCs w:val="18"/>
          <w14:ligatures w14:val="none"/>
        </w:rPr>
      </w:pPr>
    </w:p>
    <w:p w14:paraId="733CE3AC" w14:textId="77777777" w:rsidR="002320E0" w:rsidRPr="002320E0" w:rsidRDefault="002320E0" w:rsidP="002320E0">
      <w:pPr>
        <w:keepNext/>
        <w:keepLines/>
        <w:widowControl w:val="0"/>
        <w:spacing w:after="0" w:line="240" w:lineRule="auto"/>
        <w:rPr>
          <w:rFonts w:ascii="Times New Roman" w:eastAsia="Times New Roman" w:hAnsi="Times New Roman" w:cs="Times New Roman"/>
          <w:b/>
          <w:sz w:val="18"/>
          <w:szCs w:val="18"/>
          <w14:ligatures w14:val="none"/>
        </w:rPr>
      </w:pPr>
      <w:r w:rsidRPr="002320E0">
        <w:rPr>
          <w:rFonts w:ascii="Times New Roman" w:eastAsia="Times New Roman" w:hAnsi="Times New Roman" w:cs="Times New Roman"/>
          <w:b/>
          <w:sz w:val="18"/>
          <w:szCs w:val="18"/>
          <w14:ligatures w14:val="none"/>
        </w:rPr>
        <w:t>Držitel rozhodnutí o registraci a výrobce</w:t>
      </w:r>
    </w:p>
    <w:p w14:paraId="01F7256A"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 xml:space="preserve">Merck Sharp </w:t>
      </w:r>
      <w:r w:rsidRPr="002320E0">
        <w:rPr>
          <w:rFonts w:ascii="Times New Roman" w:eastAsia="Times New Roman" w:hAnsi="Times New Roman" w:cs="Times New Roman"/>
          <w:sz w:val="18"/>
          <w:szCs w:val="18"/>
          <w14:ligatures w14:val="none"/>
        </w:rPr>
        <w:sym w:font="Symbol" w:char="F026"/>
      </w:r>
      <w:r w:rsidRPr="002320E0">
        <w:rPr>
          <w:rFonts w:ascii="Times New Roman" w:eastAsia="Times New Roman" w:hAnsi="Times New Roman" w:cs="Times New Roman"/>
          <w:sz w:val="18"/>
          <w:szCs w:val="18"/>
          <w14:ligatures w14:val="none"/>
        </w:rPr>
        <w:t xml:space="preserve"> Dohme B.V.</w:t>
      </w:r>
    </w:p>
    <w:p w14:paraId="01630497"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Waarderweg 39</w:t>
      </w:r>
    </w:p>
    <w:p w14:paraId="4EB3C75C"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2031 BN Haarlem</w:t>
      </w:r>
    </w:p>
    <w:p w14:paraId="61F3EF3A" w14:textId="77777777" w:rsidR="002320E0" w:rsidRPr="002320E0" w:rsidRDefault="002320E0" w:rsidP="002320E0">
      <w:pPr>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Nizozemsko</w:t>
      </w:r>
    </w:p>
    <w:p w14:paraId="662D76DC" w14:textId="77777777" w:rsidR="002320E0" w:rsidRPr="002320E0" w:rsidRDefault="002320E0" w:rsidP="002320E0">
      <w:pPr>
        <w:widowControl w:val="0"/>
        <w:numPr>
          <w:ilvl w:val="12"/>
          <w:numId w:val="0"/>
        </w:numPr>
        <w:spacing w:after="0" w:line="240" w:lineRule="auto"/>
        <w:ind w:right="-2"/>
        <w:outlineLvl w:val="0"/>
        <w:rPr>
          <w:rFonts w:ascii="Times New Roman" w:eastAsia="Times New Roman" w:hAnsi="Times New Roman" w:cs="Times New Roman"/>
          <w:noProof/>
          <w:sz w:val="18"/>
          <w:szCs w:val="18"/>
          <w14:ligatures w14:val="none"/>
        </w:rPr>
      </w:pPr>
    </w:p>
    <w:p w14:paraId="7935BA3F" w14:textId="166D44BA" w:rsidR="002320E0" w:rsidRPr="002320E0" w:rsidRDefault="002320E0" w:rsidP="002320E0">
      <w:pPr>
        <w:widowControl w:val="0"/>
        <w:numPr>
          <w:ilvl w:val="12"/>
          <w:numId w:val="0"/>
        </w:numPr>
        <w:spacing w:after="0" w:line="240" w:lineRule="auto"/>
        <w:ind w:right="-2"/>
        <w:outlineLvl w:val="0"/>
        <w:rPr>
          <w:rFonts w:ascii="Times New Roman" w:eastAsia="Times New Roman" w:hAnsi="Times New Roman" w:cs="Times New Roman"/>
          <w:b/>
          <w:noProof/>
          <w:sz w:val="18"/>
          <w:szCs w:val="18"/>
          <w14:ligatures w14:val="none"/>
        </w:rPr>
      </w:pPr>
      <w:r w:rsidRPr="002320E0">
        <w:rPr>
          <w:rFonts w:ascii="Times New Roman" w:eastAsia="Times New Roman" w:hAnsi="Times New Roman" w:cs="Times New Roman"/>
          <w:b/>
          <w:noProof/>
          <w:sz w:val="18"/>
          <w:szCs w:val="18"/>
          <w14:ligatures w14:val="none"/>
        </w:rPr>
        <w:t>Tato příbalová informace byla naposledy revidována: 2.</w:t>
      </w:r>
      <w:r w:rsidR="0051216B">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b/>
          <w:noProof/>
          <w:sz w:val="18"/>
          <w:szCs w:val="18"/>
          <w14:ligatures w14:val="none"/>
        </w:rPr>
        <w:t>7.</w:t>
      </w:r>
      <w:r w:rsidR="0051216B">
        <w:rPr>
          <w:rFonts w:ascii="Times New Roman" w:eastAsia="Times New Roman" w:hAnsi="Times New Roman" w:cs="Times New Roman"/>
          <w:b/>
          <w:noProof/>
          <w:sz w:val="18"/>
          <w:szCs w:val="18"/>
          <w14:ligatures w14:val="none"/>
        </w:rPr>
        <w:t> </w:t>
      </w:r>
      <w:r w:rsidRPr="002320E0">
        <w:rPr>
          <w:rFonts w:ascii="Times New Roman" w:eastAsia="Times New Roman" w:hAnsi="Times New Roman" w:cs="Times New Roman"/>
          <w:b/>
          <w:noProof/>
          <w:sz w:val="18"/>
          <w:szCs w:val="18"/>
          <w14:ligatures w14:val="none"/>
        </w:rPr>
        <w:t>2020</w:t>
      </w:r>
    </w:p>
    <w:p w14:paraId="1D370B69" w14:textId="77777777" w:rsidR="002320E0" w:rsidRPr="002320E0" w:rsidRDefault="002320E0" w:rsidP="002320E0">
      <w:pPr>
        <w:keepNext/>
        <w:keepLines/>
        <w:widowControl w:val="0"/>
        <w:spacing w:after="0" w:line="240" w:lineRule="auto"/>
        <w:rPr>
          <w:rFonts w:ascii="Times New Roman" w:eastAsia="Times New Roman" w:hAnsi="Times New Roman" w:cs="Times New Roman"/>
          <w:sz w:val="18"/>
          <w:szCs w:val="18"/>
          <w14:ligatures w14:val="none"/>
        </w:rPr>
      </w:pPr>
      <w:r w:rsidRPr="002320E0">
        <w:rPr>
          <w:rFonts w:ascii="Times New Roman" w:eastAsia="Times New Roman" w:hAnsi="Times New Roman" w:cs="Times New Roman"/>
          <w:sz w:val="18"/>
          <w:szCs w:val="18"/>
          <w14:ligatures w14:val="none"/>
        </w:rPr>
        <w:t>---------------------------------------------------------------------------------------------------------------------------</w:t>
      </w:r>
    </w:p>
    <w:p w14:paraId="63BD6CD2" w14:textId="77777777" w:rsidR="002320E0" w:rsidRPr="002320E0" w:rsidRDefault="002320E0" w:rsidP="002320E0">
      <w:pPr>
        <w:keepNext/>
        <w:keepLines/>
        <w:widowControl w:val="0"/>
        <w:spacing w:after="0" w:line="240" w:lineRule="auto"/>
        <w:rPr>
          <w:rFonts w:ascii="Times New Roman" w:eastAsia="Times New Roman" w:hAnsi="Times New Roman" w:cs="Times New Roman"/>
          <w:iCs/>
          <w:sz w:val="18"/>
          <w:szCs w:val="18"/>
          <w14:ligatures w14:val="none"/>
        </w:rPr>
      </w:pPr>
      <w:r w:rsidRPr="002320E0">
        <w:rPr>
          <w:rFonts w:ascii="Times New Roman" w:eastAsia="Times New Roman" w:hAnsi="Times New Roman" w:cs="Times New Roman"/>
          <w:iCs/>
          <w:sz w:val="18"/>
          <w:szCs w:val="18"/>
          <w14:ligatures w14:val="none"/>
        </w:rPr>
        <w:t>Následující informace jsou určeny pouze pro zdravotnické pracovníky:</w:t>
      </w:r>
    </w:p>
    <w:p w14:paraId="75049E89" w14:textId="77777777" w:rsidR="002320E0" w:rsidRPr="002320E0" w:rsidRDefault="002320E0" w:rsidP="002320E0">
      <w:pPr>
        <w:keepNext/>
        <w:keepLines/>
        <w:widowControl w:val="0"/>
        <w:spacing w:after="0" w:line="240" w:lineRule="auto"/>
        <w:rPr>
          <w:rFonts w:ascii="Times New Roman" w:eastAsia="Times New Roman" w:hAnsi="Times New Roman" w:cs="Times New Roman"/>
          <w:i/>
          <w:iCs/>
          <w:sz w:val="18"/>
          <w:szCs w:val="18"/>
          <w14:ligatures w14:val="none"/>
        </w:rPr>
      </w:pPr>
    </w:p>
    <w:p w14:paraId="4D42DD56" w14:textId="77777777" w:rsidR="002320E0" w:rsidRPr="002320E0" w:rsidRDefault="002320E0" w:rsidP="002320E0">
      <w:pPr>
        <w:keepNext/>
        <w:keepLines/>
        <w:widowControl w:val="0"/>
        <w:spacing w:after="0" w:line="240" w:lineRule="auto"/>
        <w:ind w:left="567" w:hanging="567"/>
        <w:rPr>
          <w:rFonts w:ascii="Times New Roman" w:eastAsia="Times New Roman" w:hAnsi="Times New Roman" w:cs="Times New Roman"/>
          <w:color w:val="000000"/>
          <w:sz w:val="18"/>
          <w:szCs w:val="18"/>
          <w:u w:val="single"/>
          <w14:ligatures w14:val="none"/>
        </w:rPr>
      </w:pPr>
      <w:r w:rsidRPr="002320E0">
        <w:rPr>
          <w:rFonts w:ascii="Times New Roman" w:eastAsia="Times New Roman" w:hAnsi="Times New Roman" w:cs="Times New Roman"/>
          <w:color w:val="000000"/>
          <w:sz w:val="18"/>
          <w:szCs w:val="18"/>
          <w:u w:val="single"/>
          <w14:ligatures w14:val="none"/>
        </w:rPr>
        <w:t>Inkompatibility</w:t>
      </w:r>
    </w:p>
    <w:p w14:paraId="193217EB" w14:textId="77777777" w:rsidR="002320E0" w:rsidRPr="002320E0" w:rsidRDefault="002320E0" w:rsidP="002320E0">
      <w:pPr>
        <w:keepNext/>
        <w:keepLines/>
        <w:widowControl w:val="0"/>
        <w:spacing w:after="0" w:line="240" w:lineRule="auto"/>
        <w:rPr>
          <w:rFonts w:ascii="Times New Roman" w:eastAsia="Times New Roman" w:hAnsi="Times New Roman" w:cs="Times New Roman"/>
          <w:color w:val="000000"/>
          <w:sz w:val="18"/>
          <w:szCs w:val="18"/>
          <w14:ligatures w14:val="none"/>
        </w:rPr>
      </w:pPr>
    </w:p>
    <w:p w14:paraId="31CC4686" w14:textId="77777777" w:rsidR="002320E0" w:rsidRPr="002320E0" w:rsidRDefault="002320E0" w:rsidP="002320E0">
      <w:pPr>
        <w:widowControl w:val="0"/>
        <w:spacing w:after="0" w:line="240" w:lineRule="auto"/>
        <w:rPr>
          <w:rFonts w:ascii="Times New Roman" w:eastAsia="Times New Roman" w:hAnsi="Times New Roman" w:cs="Times New Roman"/>
          <w:color w:val="000000"/>
          <w:sz w:val="18"/>
          <w:szCs w:val="18"/>
          <w14:ligatures w14:val="none"/>
        </w:rPr>
      </w:pPr>
      <w:r w:rsidRPr="002320E0">
        <w:rPr>
          <w:rFonts w:ascii="Times New Roman" w:eastAsia="Times New Roman" w:hAnsi="Times New Roman" w:cs="Times New Roman"/>
          <w:color w:val="000000"/>
          <w:sz w:val="18"/>
          <w:szCs w:val="18"/>
          <w14:ligatures w14:val="none"/>
        </w:rPr>
        <w:t>Protože nebyly provedeny žádné studie kompatibility, nesmí se tento přípravek mísit s jinými léčivými přípravky.</w:t>
      </w:r>
    </w:p>
    <w:p w14:paraId="04BA4658" w14:textId="77777777" w:rsidR="002320E0" w:rsidRPr="002320E0" w:rsidRDefault="002320E0" w:rsidP="002320E0">
      <w:pPr>
        <w:widowControl w:val="0"/>
        <w:spacing w:after="0" w:line="240" w:lineRule="auto"/>
        <w:rPr>
          <w:rFonts w:ascii="Times New Roman" w:eastAsia="Times New Roman" w:hAnsi="Times New Roman" w:cs="Times New Roman"/>
          <w:iCs/>
          <w:sz w:val="18"/>
          <w:szCs w:val="18"/>
          <w14:ligatures w14:val="none"/>
        </w:rPr>
      </w:pPr>
    </w:p>
    <w:p w14:paraId="79295244" w14:textId="77777777" w:rsidR="002320E0" w:rsidRPr="002320E0" w:rsidRDefault="002320E0" w:rsidP="002320E0">
      <w:pPr>
        <w:keepNext/>
        <w:keepLines/>
        <w:widowControl w:val="0"/>
        <w:spacing w:after="0" w:line="240" w:lineRule="auto"/>
        <w:rPr>
          <w:rFonts w:ascii="Times New Roman" w:eastAsia="Times New Roman" w:hAnsi="Times New Roman" w:cs="Times New Roman"/>
          <w:iCs/>
          <w:sz w:val="18"/>
          <w:szCs w:val="18"/>
          <w:u w:val="single"/>
          <w14:ligatures w14:val="none"/>
        </w:rPr>
      </w:pPr>
      <w:r w:rsidRPr="002320E0">
        <w:rPr>
          <w:rFonts w:ascii="Times New Roman" w:eastAsia="Times New Roman" w:hAnsi="Times New Roman" w:cs="Times New Roman"/>
          <w:iCs/>
          <w:sz w:val="18"/>
          <w:szCs w:val="18"/>
          <w:u w:val="single"/>
          <w14:ligatures w14:val="none"/>
        </w:rPr>
        <w:t>Pokyny k použití a k zacházení s vakcínou</w:t>
      </w:r>
    </w:p>
    <w:p w14:paraId="4145F2AA" w14:textId="77777777" w:rsidR="002320E0" w:rsidRPr="002320E0" w:rsidRDefault="002320E0" w:rsidP="002320E0">
      <w:pPr>
        <w:widowControl w:val="0"/>
        <w:spacing w:after="0" w:line="240" w:lineRule="auto"/>
        <w:rPr>
          <w:rFonts w:ascii="Times New Roman" w:eastAsia="Times New Roman" w:hAnsi="Times New Roman" w:cs="Times New Roman"/>
          <w:iCs/>
          <w:sz w:val="18"/>
          <w:szCs w:val="18"/>
          <w14:ligatures w14:val="none"/>
        </w:rPr>
      </w:pPr>
    </w:p>
    <w:p w14:paraId="337B3641" w14:textId="77777777" w:rsidR="002320E0" w:rsidRPr="002320E0" w:rsidRDefault="002320E0" w:rsidP="002320E0">
      <w:pPr>
        <w:widowControl w:val="0"/>
        <w:spacing w:after="0" w:line="240" w:lineRule="auto"/>
        <w:rPr>
          <w:rFonts w:ascii="Times New Roman" w:eastAsia="Times New Roman" w:hAnsi="Times New Roman" w:cs="Times New Roman"/>
          <w:color w:val="000000"/>
          <w:sz w:val="18"/>
          <w:szCs w:val="18"/>
          <w14:ligatures w14:val="none"/>
        </w:rPr>
      </w:pPr>
      <w:r w:rsidRPr="002320E0">
        <w:rPr>
          <w:rFonts w:ascii="Times New Roman" w:eastAsia="Times New Roman" w:hAnsi="Times New Roman" w:cs="Times New Roman"/>
          <w:color w:val="000000"/>
          <w:sz w:val="18"/>
          <w:szCs w:val="18"/>
          <w14:ligatures w14:val="none"/>
        </w:rPr>
        <w:t>Vakcínu je nutno použít tak, jak se dodává.</w:t>
      </w:r>
      <w:r w:rsidRPr="002320E0" w:rsidDel="00507FEB">
        <w:rPr>
          <w:rFonts w:ascii="Times New Roman" w:eastAsia="Times New Roman" w:hAnsi="Times New Roman" w:cs="Times New Roman"/>
          <w:color w:val="000000"/>
          <w:sz w:val="18"/>
          <w:szCs w:val="18"/>
          <w14:ligatures w14:val="none"/>
        </w:rPr>
        <w:t xml:space="preserve"> </w:t>
      </w:r>
    </w:p>
    <w:p w14:paraId="18DD34EE" w14:textId="77777777" w:rsidR="002320E0" w:rsidRPr="002320E0" w:rsidRDefault="002320E0" w:rsidP="002320E0">
      <w:pPr>
        <w:widowControl w:val="0"/>
        <w:spacing w:after="0" w:line="240" w:lineRule="auto"/>
        <w:rPr>
          <w:rFonts w:ascii="Times New Roman" w:eastAsia="Times New Roman" w:hAnsi="Times New Roman" w:cs="Times New Roman"/>
          <w:color w:val="000000"/>
          <w:sz w:val="18"/>
          <w:szCs w:val="18"/>
          <w14:ligatures w14:val="none"/>
        </w:rPr>
      </w:pPr>
      <w:r w:rsidRPr="002320E0">
        <w:rPr>
          <w:rFonts w:ascii="Times New Roman" w:eastAsia="Times New Roman" w:hAnsi="Times New Roman" w:cs="Times New Roman"/>
          <w:color w:val="000000"/>
          <w:sz w:val="18"/>
          <w:szCs w:val="18"/>
          <w14:ligatures w14:val="none"/>
        </w:rPr>
        <w:t>Vakcínu je nutno před podáním vizuálně zkontrolovat, zda neobsahuje cizí částice a/nebo zda nemá neobvyklý vzhled. Pokud přípravek obsahuje pevné částice nebo jeví změnu barvy, zlikvidujte jej. Injekční stříkačkou je nutno důkladně třepat, dokud se nezíská mírně neprůhledná bílá suspenze.</w:t>
      </w:r>
    </w:p>
    <w:p w14:paraId="794455B7" w14:textId="77777777" w:rsidR="002320E0" w:rsidRPr="002320E0" w:rsidRDefault="002320E0" w:rsidP="002320E0">
      <w:pPr>
        <w:widowControl w:val="0"/>
        <w:spacing w:after="0" w:line="240" w:lineRule="auto"/>
        <w:rPr>
          <w:rFonts w:ascii="Times New Roman" w:eastAsia="Times New Roman" w:hAnsi="Times New Roman" w:cs="Times New Roman"/>
          <w:color w:val="000000"/>
          <w:sz w:val="18"/>
          <w:szCs w:val="18"/>
          <w14:ligatures w14:val="none"/>
        </w:rPr>
      </w:pPr>
    </w:p>
    <w:p w14:paraId="4D9943B8" w14:textId="77777777" w:rsidR="002320E0" w:rsidRPr="002320E0" w:rsidRDefault="002320E0" w:rsidP="002320E0">
      <w:pPr>
        <w:widowControl w:val="0"/>
        <w:spacing w:after="0" w:line="240" w:lineRule="auto"/>
        <w:rPr>
          <w:rFonts w:ascii="Times New Roman" w:eastAsia="Times New Roman" w:hAnsi="Times New Roman" w:cs="Times New Roman"/>
          <w:color w:val="000000"/>
          <w:sz w:val="18"/>
          <w:szCs w:val="18"/>
          <w14:ligatures w14:val="none"/>
        </w:rPr>
      </w:pPr>
      <w:r w:rsidRPr="002320E0">
        <w:rPr>
          <w:rFonts w:ascii="Times New Roman" w:eastAsia="Times New Roman" w:hAnsi="Times New Roman" w:cs="Times New Roman"/>
          <w:color w:val="000000"/>
          <w:sz w:val="18"/>
          <w:szCs w:val="18"/>
          <w14:ligatures w14:val="none"/>
        </w:rPr>
        <w:t xml:space="preserve">K udržení vakcíny ve formě suspenze je potřebné důkladné protřepání. U stříkačky bez připevněné jehly uchopte tělo stříkačky a připojte jehlu otočením ve směru hodinových </w:t>
      </w:r>
      <w:r w:rsidRPr="002320E0">
        <w:rPr>
          <w:rFonts w:ascii="Times New Roman" w:eastAsia="Times New Roman" w:hAnsi="Times New Roman" w:cs="Times New Roman"/>
          <w:color w:val="000000"/>
          <w:sz w:val="18"/>
          <w:szCs w:val="18"/>
          <w14:ligatures w14:val="none"/>
        </w:rPr>
        <w:lastRenderedPageBreak/>
        <w:t>ručiček, dokud jehla bezpečně nedrží na stříkačce a okamžitě aplikujte.</w:t>
      </w:r>
    </w:p>
    <w:p w14:paraId="0BC7B59A" w14:textId="77777777" w:rsidR="002320E0" w:rsidRPr="002320E0" w:rsidRDefault="002320E0" w:rsidP="002320E0">
      <w:pPr>
        <w:widowControl w:val="0"/>
        <w:spacing w:after="0" w:line="240" w:lineRule="auto"/>
        <w:rPr>
          <w:rFonts w:ascii="Times New Roman" w:eastAsia="Times New Roman" w:hAnsi="Times New Roman" w:cs="Times New Roman"/>
          <w:iCs/>
          <w:sz w:val="18"/>
          <w:szCs w:val="18"/>
          <w14:ligatures w14:val="none"/>
        </w:rPr>
      </w:pPr>
    </w:p>
    <w:p w14:paraId="641B639C" w14:textId="77777777" w:rsidR="002320E0" w:rsidRPr="002320E0" w:rsidRDefault="002320E0">
      <w:pPr>
        <w:rPr>
          <w:rFonts w:ascii="Times New Roman" w:hAnsi="Times New Roman" w:cs="Times New Roman"/>
          <w:sz w:val="18"/>
          <w:szCs w:val="18"/>
        </w:rPr>
      </w:pPr>
    </w:p>
    <w:sectPr w:rsidR="002320E0" w:rsidRPr="002320E0" w:rsidSect="002320E0">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477A3"/>
    <w:multiLevelType w:val="hybridMultilevel"/>
    <w:tmpl w:val="CE58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A3830"/>
    <w:multiLevelType w:val="hybridMultilevel"/>
    <w:tmpl w:val="79262EB0"/>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531582A"/>
    <w:multiLevelType w:val="hybridMultilevel"/>
    <w:tmpl w:val="68CE060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FF7154C"/>
    <w:multiLevelType w:val="hybridMultilevel"/>
    <w:tmpl w:val="739A45CC"/>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0E43956"/>
    <w:multiLevelType w:val="hybridMultilevel"/>
    <w:tmpl w:val="9AB49190"/>
    <w:lvl w:ilvl="0" w:tplc="3BD81D4E">
      <w:start w:val="1"/>
      <w:numFmt w:val="decimal"/>
      <w:lvlText w:val="%1."/>
      <w:lvlJc w:val="left"/>
      <w:pPr>
        <w:tabs>
          <w:tab w:val="num" w:pos="930"/>
        </w:tabs>
        <w:ind w:left="930" w:hanging="57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64728423">
    <w:abstractNumId w:val="0"/>
    <w:lvlOverride w:ilvl="0">
      <w:lvl w:ilvl="0">
        <w:start w:val="1"/>
        <w:numFmt w:val="bullet"/>
        <w:lvlText w:val="-"/>
        <w:legacy w:legacy="1" w:legacySpace="0" w:legacyIndent="360"/>
        <w:lvlJc w:val="left"/>
        <w:pPr>
          <w:ind w:left="360" w:hanging="360"/>
        </w:pPr>
      </w:lvl>
    </w:lvlOverride>
  </w:num>
  <w:num w:numId="2" w16cid:durableId="620691571">
    <w:abstractNumId w:val="5"/>
  </w:num>
  <w:num w:numId="3" w16cid:durableId="1985037280">
    <w:abstractNumId w:val="2"/>
  </w:num>
  <w:num w:numId="4" w16cid:durableId="921068430">
    <w:abstractNumId w:val="3"/>
  </w:num>
  <w:num w:numId="5" w16cid:durableId="1706783826">
    <w:abstractNumId w:val="4"/>
  </w:num>
  <w:num w:numId="6" w16cid:durableId="7197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A8F"/>
    <w:rsid w:val="000A39FA"/>
    <w:rsid w:val="00162132"/>
    <w:rsid w:val="0019581E"/>
    <w:rsid w:val="00195A8F"/>
    <w:rsid w:val="002320E0"/>
    <w:rsid w:val="003B6CA2"/>
    <w:rsid w:val="00481EC3"/>
    <w:rsid w:val="004F4687"/>
    <w:rsid w:val="0051216B"/>
    <w:rsid w:val="00967BB6"/>
    <w:rsid w:val="00AF2858"/>
    <w:rsid w:val="00B34DD9"/>
    <w:rsid w:val="00CB70E2"/>
    <w:rsid w:val="00CC6F28"/>
    <w:rsid w:val="00CD1398"/>
    <w:rsid w:val="00D10A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CE45"/>
  <w15:chartTrackingRefBased/>
  <w15:docId w15:val="{05BC005F-EAB0-48E0-AAFB-244F4852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A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A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A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A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A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A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A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A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A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A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A8F"/>
    <w:rPr>
      <w:rFonts w:eastAsiaTheme="majorEastAsia" w:cstheme="majorBidi"/>
      <w:color w:val="272727" w:themeColor="text1" w:themeTint="D8"/>
    </w:rPr>
  </w:style>
  <w:style w:type="paragraph" w:styleId="Title">
    <w:name w:val="Title"/>
    <w:basedOn w:val="Normal"/>
    <w:next w:val="Normal"/>
    <w:link w:val="TitleChar"/>
    <w:uiPriority w:val="10"/>
    <w:qFormat/>
    <w:rsid w:val="00195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A8F"/>
    <w:pPr>
      <w:spacing w:before="160"/>
      <w:jc w:val="center"/>
    </w:pPr>
    <w:rPr>
      <w:i/>
      <w:iCs/>
      <w:color w:val="404040" w:themeColor="text1" w:themeTint="BF"/>
    </w:rPr>
  </w:style>
  <w:style w:type="character" w:customStyle="1" w:styleId="QuoteChar">
    <w:name w:val="Quote Char"/>
    <w:basedOn w:val="DefaultParagraphFont"/>
    <w:link w:val="Quote"/>
    <w:uiPriority w:val="29"/>
    <w:rsid w:val="00195A8F"/>
    <w:rPr>
      <w:i/>
      <w:iCs/>
      <w:color w:val="404040" w:themeColor="text1" w:themeTint="BF"/>
    </w:rPr>
  </w:style>
  <w:style w:type="paragraph" w:styleId="ListParagraph">
    <w:name w:val="List Paragraph"/>
    <w:basedOn w:val="Normal"/>
    <w:uiPriority w:val="34"/>
    <w:qFormat/>
    <w:rsid w:val="00195A8F"/>
    <w:pPr>
      <w:ind w:left="720"/>
      <w:contextualSpacing/>
    </w:pPr>
  </w:style>
  <w:style w:type="character" w:styleId="IntenseEmphasis">
    <w:name w:val="Intense Emphasis"/>
    <w:basedOn w:val="DefaultParagraphFont"/>
    <w:uiPriority w:val="21"/>
    <w:qFormat/>
    <w:rsid w:val="00195A8F"/>
    <w:rPr>
      <w:i/>
      <w:iCs/>
      <w:color w:val="0F4761" w:themeColor="accent1" w:themeShade="BF"/>
    </w:rPr>
  </w:style>
  <w:style w:type="paragraph" w:styleId="IntenseQuote">
    <w:name w:val="Intense Quote"/>
    <w:basedOn w:val="Normal"/>
    <w:next w:val="Normal"/>
    <w:link w:val="IntenseQuoteChar"/>
    <w:uiPriority w:val="30"/>
    <w:qFormat/>
    <w:rsid w:val="00195A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A8F"/>
    <w:rPr>
      <w:i/>
      <w:iCs/>
      <w:color w:val="0F4761" w:themeColor="accent1" w:themeShade="BF"/>
    </w:rPr>
  </w:style>
  <w:style w:type="character" w:styleId="IntenseReference">
    <w:name w:val="Intense Reference"/>
    <w:basedOn w:val="DefaultParagraphFont"/>
    <w:uiPriority w:val="32"/>
    <w:qFormat/>
    <w:rsid w:val="00195A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2300</Words>
  <Characters>13457</Characters>
  <Application>Microsoft Office Word</Application>
  <DocSecurity>0</DocSecurity>
  <Lines>480</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MSD2-CZ-RA</dc:creator>
  <cp:keywords/>
  <dc:description/>
  <cp:lastModifiedBy>MSD2-CZ-RA</cp:lastModifiedBy>
  <cp:revision>3</cp:revision>
  <dcterms:created xsi:type="dcterms:W3CDTF">2025-10-29T13:14:00Z</dcterms:created>
  <dcterms:modified xsi:type="dcterms:W3CDTF">2025-10-29T13:55:00Z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acc0d-dcc4-4dc9-a2c5-be70b05a2fe6_Enabled">
    <vt:lpwstr>true</vt:lpwstr>
  </property>
  <property fmtid="{D5CDD505-2E9C-101B-9397-08002B2CF9AE}" pid="3" name="MSIP_Label_e81acc0d-dcc4-4dc9-a2c5-be70b05a2fe6_SetDate">
    <vt:lpwstr>2025-10-24T07:12:46Z</vt:lpwstr>
  </property>
  <property fmtid="{D5CDD505-2E9C-101B-9397-08002B2CF9AE}" pid="4" name="MSIP_Label_e81acc0d-dcc4-4dc9-a2c5-be70b05a2fe6_Method">
    <vt:lpwstr>Privileged</vt:lpwstr>
  </property>
  <property fmtid="{D5CDD505-2E9C-101B-9397-08002B2CF9AE}" pid="5" name="MSIP_Label_e81acc0d-dcc4-4dc9-a2c5-be70b05a2fe6_Name">
    <vt:lpwstr>e81acc0d-dcc4-4dc9-a2c5-be70b05a2fe6</vt:lpwstr>
  </property>
  <property fmtid="{D5CDD505-2E9C-101B-9397-08002B2CF9AE}" pid="6" name="MSIP_Label_e81acc0d-dcc4-4dc9-a2c5-be70b05a2fe6_SiteId">
    <vt:lpwstr>a00de4ec-48a8-43a6-be74-e31274e2060d</vt:lpwstr>
  </property>
  <property fmtid="{D5CDD505-2E9C-101B-9397-08002B2CF9AE}" pid="7" name="MSIP_Label_e81acc0d-dcc4-4dc9-a2c5-be70b05a2fe6_ActionId">
    <vt:lpwstr>fd27a0c5-be02-4dd9-8080-c56938d89d7f</vt:lpwstr>
  </property>
  <property fmtid="{D5CDD505-2E9C-101B-9397-08002B2CF9AE}" pid="8" name="MSIP_Label_e81acc0d-dcc4-4dc9-a2c5-be70b05a2fe6_ContentBits">
    <vt:lpwstr>0</vt:lpwstr>
  </property>
  <property fmtid="{D5CDD505-2E9C-101B-9397-08002B2CF9AE}" pid="9" name="MSIP_Label_e81acc0d-dcc4-4dc9-a2c5-be70b05a2fe6_Tag">
    <vt:lpwstr>10, 0, 1, 1</vt:lpwstr>
  </property>
  <property fmtid="{D5CDD505-2E9C-101B-9397-08002B2CF9AE}" pid="11" name="_NewReviewCycle">
    <vt:lpwstr/>
  </property>
</Properties>
</file>